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D40" w:rsidRDefault="00215D40" w:rsidP="00215D40">
      <w:pPr>
        <w:adjustRightInd w:val="0"/>
        <w:snapToGrid w:val="0"/>
        <w:jc w:val="center"/>
        <w:rPr>
          <w:rFonts w:ascii="华文中宋" w:eastAsia="华文中宋" w:hAnsi="华文中宋" w:cs="仿宋_GB2312"/>
          <w:b/>
          <w:bCs/>
          <w:color w:val="000000"/>
          <w:kern w:val="0"/>
          <w:sz w:val="44"/>
          <w:szCs w:val="44"/>
        </w:rPr>
      </w:pPr>
    </w:p>
    <w:p w:rsidR="008E3A2D" w:rsidRDefault="008E3A2D" w:rsidP="008E3A2D">
      <w:pPr>
        <w:pStyle w:val="1"/>
        <w:ind w:firstLine="600"/>
      </w:pPr>
    </w:p>
    <w:p w:rsidR="008E3A2D" w:rsidRPr="008E3A2D" w:rsidRDefault="008E3A2D" w:rsidP="008E3A2D">
      <w:pPr>
        <w:pStyle w:val="1"/>
        <w:ind w:firstLine="600"/>
      </w:pPr>
    </w:p>
    <w:p w:rsidR="00215D40" w:rsidRDefault="00215D40" w:rsidP="00215D40">
      <w:pPr>
        <w:adjustRightInd w:val="0"/>
        <w:snapToGrid w:val="0"/>
        <w:jc w:val="center"/>
        <w:rPr>
          <w:rFonts w:ascii="华文中宋" w:eastAsia="华文中宋" w:hAnsi="华文中宋" w:cs="仿宋_GB2312"/>
          <w:b/>
          <w:bCs/>
          <w:color w:val="000000"/>
          <w:kern w:val="0"/>
          <w:sz w:val="44"/>
          <w:szCs w:val="44"/>
        </w:rPr>
      </w:pPr>
    </w:p>
    <w:p w:rsidR="00215D40" w:rsidRDefault="00215D40" w:rsidP="00215D40">
      <w:pPr>
        <w:adjustRightInd w:val="0"/>
        <w:snapToGrid w:val="0"/>
        <w:jc w:val="center"/>
        <w:rPr>
          <w:rFonts w:ascii="华文中宋" w:eastAsia="华文中宋" w:hAnsi="华文中宋" w:cs="仿宋_GB2312"/>
          <w:b/>
          <w:bCs/>
          <w:color w:val="000000"/>
          <w:kern w:val="0"/>
          <w:sz w:val="44"/>
          <w:szCs w:val="44"/>
        </w:rPr>
      </w:pPr>
    </w:p>
    <w:p w:rsidR="00215D40" w:rsidRPr="00215D40" w:rsidRDefault="00215D40" w:rsidP="00215D40">
      <w:pPr>
        <w:adjustRightInd w:val="0"/>
        <w:snapToGrid w:val="0"/>
        <w:jc w:val="center"/>
        <w:rPr>
          <w:rFonts w:ascii="华文中宋" w:eastAsia="华文中宋" w:hAnsi="华文中宋"/>
          <w:b/>
          <w:bCs/>
          <w:color w:val="000000"/>
          <w:kern w:val="0"/>
          <w:sz w:val="44"/>
          <w:szCs w:val="44"/>
        </w:rPr>
      </w:pPr>
      <w:r w:rsidRPr="00215D40">
        <w:rPr>
          <w:rFonts w:ascii="华文中宋" w:eastAsia="华文中宋" w:hAnsi="华文中宋" w:cs="仿宋_GB2312" w:hint="eastAsia"/>
          <w:b/>
          <w:bCs/>
          <w:color w:val="000000"/>
          <w:kern w:val="0"/>
          <w:sz w:val="44"/>
          <w:szCs w:val="44"/>
        </w:rPr>
        <w:t>食品经营许可现场核查表</w:t>
      </w:r>
    </w:p>
    <w:p w:rsidR="00215D40" w:rsidRPr="00215D40" w:rsidRDefault="00215D40" w:rsidP="00215D40">
      <w:pPr>
        <w:adjustRightInd w:val="0"/>
        <w:snapToGrid w:val="0"/>
        <w:jc w:val="center"/>
        <w:rPr>
          <w:rFonts w:ascii="华文中宋" w:eastAsia="华文中宋" w:hAnsi="华文中宋"/>
          <w:b/>
          <w:bCs/>
          <w:kern w:val="0"/>
          <w:sz w:val="44"/>
          <w:szCs w:val="44"/>
        </w:rPr>
      </w:pPr>
      <w:r w:rsidRPr="00215D40">
        <w:rPr>
          <w:rFonts w:ascii="华文中宋" w:eastAsia="华文中宋" w:hAnsi="华文中宋" w:cs="仿宋_GB2312" w:hint="eastAsia"/>
          <w:b/>
          <w:bCs/>
          <w:kern w:val="0"/>
          <w:sz w:val="44"/>
          <w:szCs w:val="44"/>
        </w:rPr>
        <w:t>(适用于食品制售项目一般要求)</w:t>
      </w:r>
    </w:p>
    <w:p w:rsidR="00215D40" w:rsidRPr="00215D40" w:rsidRDefault="00215D40" w:rsidP="00D67DB4">
      <w:pPr>
        <w:spacing w:afterLines="50"/>
        <w:rPr>
          <w:rFonts w:ascii="华文中宋" w:eastAsia="华文中宋" w:hAnsi="华文中宋"/>
          <w:b/>
          <w:bCs/>
          <w:color w:val="000000"/>
          <w:kern w:val="0"/>
          <w:sz w:val="32"/>
          <w:szCs w:val="32"/>
        </w:rPr>
      </w:pPr>
    </w:p>
    <w:p w:rsidR="00FF7126" w:rsidRDefault="00FF7126" w:rsidP="00FF7126">
      <w:pPr>
        <w:pStyle w:val="1"/>
        <w:ind w:firstLine="600"/>
      </w:pPr>
    </w:p>
    <w:p w:rsidR="00FF7126" w:rsidRDefault="00FF7126" w:rsidP="00FF7126">
      <w:pPr>
        <w:pStyle w:val="1"/>
        <w:ind w:firstLine="600"/>
      </w:pPr>
    </w:p>
    <w:p w:rsidR="00FF7126" w:rsidRDefault="00FF7126" w:rsidP="00FF7126">
      <w:pPr>
        <w:pStyle w:val="1"/>
        <w:ind w:firstLine="600"/>
      </w:pPr>
    </w:p>
    <w:p w:rsidR="00FF7126" w:rsidRPr="00FF7126" w:rsidRDefault="00FF7126" w:rsidP="00FF7126">
      <w:pPr>
        <w:pStyle w:val="1"/>
        <w:ind w:firstLine="600"/>
      </w:pPr>
    </w:p>
    <w:p w:rsidR="00215D40" w:rsidRDefault="00215D40" w:rsidP="00D67DB4">
      <w:pPr>
        <w:spacing w:afterLines="50"/>
        <w:rPr>
          <w:rFonts w:ascii="仿宋_GB2312" w:eastAsia="仿宋_GB2312" w:hAnsi="宋体"/>
          <w:b/>
          <w:bCs/>
          <w:color w:val="000000"/>
          <w:kern w:val="0"/>
          <w:sz w:val="32"/>
          <w:szCs w:val="32"/>
        </w:rPr>
      </w:pPr>
    </w:p>
    <w:p w:rsidR="00215D40" w:rsidRDefault="00215D40" w:rsidP="00D67DB4">
      <w:pPr>
        <w:spacing w:afterLines="50"/>
        <w:ind w:firstLineChars="150" w:firstLine="542"/>
        <w:rPr>
          <w:rFonts w:ascii="仿宋_GB2312" w:eastAsia="仿宋_GB2312" w:hAnsi="宋体" w:cs="仿宋_GB2312"/>
          <w:b/>
          <w:bCs/>
          <w:color w:val="000000"/>
          <w:kern w:val="0"/>
          <w:sz w:val="36"/>
          <w:szCs w:val="36"/>
          <w:u w:val="single"/>
        </w:rPr>
      </w:pPr>
      <w:r>
        <w:rPr>
          <w:rFonts w:ascii="仿宋_GB2312" w:eastAsia="仿宋_GB2312" w:hAnsi="宋体" w:cs="仿宋_GB2312" w:hint="eastAsia"/>
          <w:b/>
          <w:bCs/>
          <w:color w:val="000000"/>
          <w:kern w:val="0"/>
          <w:sz w:val="36"/>
          <w:szCs w:val="36"/>
        </w:rPr>
        <w:t>单位名称：</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r>
        <w:rPr>
          <w:rFonts w:ascii="仿宋_GB2312" w:eastAsia="仿宋_GB2312" w:hAnsi="宋体" w:cs="仿宋_GB2312"/>
          <w:b/>
          <w:bCs/>
          <w:color w:val="000000"/>
          <w:kern w:val="0"/>
          <w:sz w:val="36"/>
          <w:szCs w:val="36"/>
          <w:u w:val="single"/>
        </w:rPr>
        <w:t xml:space="preserve">                </w:t>
      </w:r>
    </w:p>
    <w:p w:rsidR="00215D40" w:rsidRDefault="00215D40" w:rsidP="00D67DB4">
      <w:pPr>
        <w:spacing w:afterLines="50"/>
        <w:ind w:firstLineChars="150" w:firstLine="542"/>
        <w:rPr>
          <w:rFonts w:ascii="仿宋_GB2312" w:eastAsia="仿宋_GB2312" w:hAnsi="宋体" w:cs="仿宋_GB2312"/>
          <w:b/>
          <w:bCs/>
          <w:color w:val="000000"/>
          <w:kern w:val="0"/>
          <w:sz w:val="36"/>
          <w:szCs w:val="36"/>
        </w:rPr>
      </w:pPr>
    </w:p>
    <w:p w:rsidR="00215D40" w:rsidRDefault="00215D40" w:rsidP="00D67DB4">
      <w:pPr>
        <w:spacing w:afterLines="50"/>
        <w:ind w:firstLineChars="150" w:firstLine="542"/>
        <w:rPr>
          <w:rFonts w:ascii="仿宋_GB2312" w:eastAsia="仿宋_GB2312" w:hAnsi="宋体" w:cs="仿宋_GB2312"/>
          <w:b/>
          <w:bCs/>
          <w:color w:val="000000"/>
          <w:kern w:val="0"/>
          <w:sz w:val="36"/>
          <w:szCs w:val="36"/>
          <w:u w:val="single"/>
        </w:rPr>
      </w:pPr>
      <w:r>
        <w:rPr>
          <w:rFonts w:ascii="仿宋_GB2312" w:eastAsia="仿宋_GB2312" w:hAnsi="宋体" w:cs="仿宋_GB2312" w:hint="eastAsia"/>
          <w:b/>
          <w:bCs/>
          <w:color w:val="000000"/>
          <w:kern w:val="0"/>
          <w:sz w:val="36"/>
          <w:szCs w:val="36"/>
        </w:rPr>
        <w:t>地    址：</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r>
        <w:rPr>
          <w:rFonts w:ascii="仿宋_GB2312" w:eastAsia="仿宋_GB2312" w:hAnsi="宋体" w:cs="仿宋_GB2312"/>
          <w:b/>
          <w:bCs/>
          <w:color w:val="000000"/>
          <w:kern w:val="0"/>
          <w:sz w:val="36"/>
          <w:szCs w:val="36"/>
          <w:u w:val="single"/>
        </w:rPr>
        <w:t xml:space="preserve">             </w:t>
      </w:r>
    </w:p>
    <w:p w:rsidR="00215D40" w:rsidRDefault="00215D40" w:rsidP="00D67DB4">
      <w:pPr>
        <w:spacing w:afterLines="50"/>
        <w:ind w:firstLineChars="150" w:firstLine="542"/>
        <w:rPr>
          <w:rFonts w:ascii="仿宋_GB2312" w:eastAsia="仿宋_GB2312" w:hAnsi="宋体" w:cs="仿宋_GB2312"/>
          <w:b/>
          <w:bCs/>
          <w:color w:val="000000"/>
          <w:kern w:val="0"/>
          <w:sz w:val="36"/>
          <w:szCs w:val="36"/>
        </w:rPr>
      </w:pPr>
    </w:p>
    <w:p w:rsidR="00215D40" w:rsidRDefault="00215D40" w:rsidP="00D67DB4">
      <w:pPr>
        <w:spacing w:afterLines="50"/>
        <w:ind w:firstLineChars="150" w:firstLine="542"/>
        <w:rPr>
          <w:rFonts w:ascii="仿宋_GB2312" w:eastAsia="仿宋_GB2312" w:hAnsi="宋体" w:cs="仿宋_GB2312"/>
          <w:b/>
          <w:bCs/>
          <w:color w:val="000000"/>
          <w:kern w:val="0"/>
          <w:sz w:val="36"/>
          <w:szCs w:val="36"/>
          <w:u w:val="single"/>
        </w:rPr>
      </w:pPr>
      <w:r>
        <w:rPr>
          <w:rFonts w:ascii="仿宋_GB2312" w:eastAsia="仿宋_GB2312" w:hAnsi="宋体" w:cs="仿宋_GB2312" w:hint="eastAsia"/>
          <w:b/>
          <w:bCs/>
          <w:color w:val="000000"/>
          <w:kern w:val="0"/>
          <w:sz w:val="36"/>
          <w:szCs w:val="36"/>
        </w:rPr>
        <w:t>核查日期：</w:t>
      </w:r>
      <w:r>
        <w:rPr>
          <w:rFonts w:ascii="仿宋_GB2312" w:eastAsia="仿宋_GB2312" w:hAnsi="宋体" w:cs="仿宋_GB2312"/>
          <w:b/>
          <w:bCs/>
          <w:color w:val="000000"/>
          <w:kern w:val="0"/>
          <w:sz w:val="36"/>
          <w:szCs w:val="36"/>
          <w:u w:val="single"/>
        </w:rPr>
        <w:t xml:space="preserve">       </w:t>
      </w:r>
      <w:r w:rsidR="00FF7126">
        <w:rPr>
          <w:rFonts w:ascii="仿宋_GB2312" w:eastAsia="仿宋_GB2312" w:hAnsi="宋体" w:cs="仿宋_GB2312" w:hint="eastAsia"/>
          <w:b/>
          <w:bCs/>
          <w:color w:val="000000"/>
          <w:kern w:val="0"/>
          <w:sz w:val="36"/>
          <w:szCs w:val="36"/>
          <w:u w:val="single"/>
        </w:rPr>
        <w:t xml:space="preserve">  </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年      月      日</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p>
    <w:p w:rsidR="00215D40" w:rsidRDefault="00215D40" w:rsidP="00D67DB4">
      <w:pPr>
        <w:spacing w:afterLines="50"/>
        <w:ind w:firstLineChars="500" w:firstLine="1807"/>
        <w:rPr>
          <w:rFonts w:ascii="仿宋_GB2312" w:eastAsia="仿宋_GB2312" w:hAnsi="宋体" w:cs="仿宋_GB2312"/>
          <w:b/>
          <w:bCs/>
          <w:color w:val="000000"/>
          <w:kern w:val="0"/>
          <w:sz w:val="36"/>
          <w:szCs w:val="36"/>
          <w:u w:val="single"/>
        </w:rPr>
        <w:sectPr w:rsidR="00215D40" w:rsidSect="00215D40">
          <w:headerReference w:type="even" r:id="rId7"/>
          <w:footerReference w:type="even" r:id="rId8"/>
          <w:footerReference w:type="default" r:id="rId9"/>
          <w:pgSz w:w="11906" w:h="16838" w:code="9"/>
          <w:pgMar w:top="1418" w:right="1418" w:bottom="1418" w:left="1418" w:header="851" w:footer="851" w:gutter="0"/>
          <w:cols w:space="720"/>
          <w:docGrid w:type="lines" w:linePitch="312"/>
        </w:sect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462"/>
        <w:gridCol w:w="4768"/>
        <w:gridCol w:w="1021"/>
        <w:gridCol w:w="783"/>
        <w:gridCol w:w="783"/>
        <w:gridCol w:w="784"/>
      </w:tblGrid>
      <w:tr w:rsidR="00D67DB4" w:rsidRPr="00FF7126" w:rsidTr="00D67DB4">
        <w:trPr>
          <w:trHeight w:val="558"/>
          <w:tblHeader/>
          <w:jc w:val="center"/>
        </w:trPr>
        <w:tc>
          <w:tcPr>
            <w:tcW w:w="417" w:type="pct"/>
            <w:vMerge w:val="restart"/>
            <w:vAlign w:val="center"/>
          </w:tcPr>
          <w:p w:rsidR="00D67DB4" w:rsidRPr="00FF7126" w:rsidRDefault="00D67DB4" w:rsidP="008E3A2D">
            <w:pPr>
              <w:widowControl/>
              <w:spacing w:line="360" w:lineRule="exact"/>
              <w:jc w:val="center"/>
              <w:rPr>
                <w:rFonts w:ascii="黑体" w:eastAsia="黑体" w:hAnsi="黑体"/>
                <w:b/>
                <w:bCs/>
                <w:color w:val="000000"/>
                <w:kern w:val="0"/>
                <w:sz w:val="24"/>
                <w:szCs w:val="24"/>
              </w:rPr>
            </w:pPr>
            <w:r w:rsidRPr="00FF7126">
              <w:rPr>
                <w:rFonts w:ascii="黑体" w:eastAsia="黑体" w:hAnsi="黑体" w:cs="仿宋_GB2312" w:hint="eastAsia"/>
                <w:b/>
                <w:bCs/>
                <w:color w:val="000000"/>
                <w:kern w:val="0"/>
                <w:sz w:val="24"/>
                <w:szCs w:val="24"/>
              </w:rPr>
              <w:lastRenderedPageBreak/>
              <w:t>核查</w:t>
            </w:r>
          </w:p>
          <w:p w:rsidR="00D67DB4" w:rsidRPr="00FF7126" w:rsidRDefault="00D67DB4" w:rsidP="008E3A2D">
            <w:pPr>
              <w:widowControl/>
              <w:spacing w:line="360" w:lineRule="exact"/>
              <w:jc w:val="center"/>
              <w:rPr>
                <w:rFonts w:ascii="黑体" w:eastAsia="黑体" w:hAnsi="黑体"/>
                <w:b/>
                <w:bCs/>
                <w:color w:val="000000"/>
                <w:kern w:val="0"/>
                <w:sz w:val="24"/>
                <w:szCs w:val="24"/>
              </w:rPr>
            </w:pPr>
            <w:r w:rsidRPr="00FF7126">
              <w:rPr>
                <w:rFonts w:ascii="黑体" w:eastAsia="黑体" w:hAnsi="黑体" w:cs="仿宋_GB2312" w:hint="eastAsia"/>
                <w:b/>
                <w:bCs/>
                <w:color w:val="000000"/>
                <w:kern w:val="0"/>
                <w:sz w:val="24"/>
                <w:szCs w:val="24"/>
              </w:rPr>
              <w:t>内容</w:t>
            </w:r>
          </w:p>
        </w:tc>
        <w:tc>
          <w:tcPr>
            <w:tcW w:w="246" w:type="pct"/>
            <w:vMerge w:val="restart"/>
            <w:vAlign w:val="center"/>
          </w:tcPr>
          <w:p w:rsidR="00D67DB4" w:rsidRPr="00FF7126" w:rsidRDefault="00D67DB4" w:rsidP="008E3A2D">
            <w:pPr>
              <w:widowControl/>
              <w:spacing w:line="360" w:lineRule="exact"/>
              <w:jc w:val="center"/>
              <w:rPr>
                <w:rFonts w:ascii="黑体" w:eastAsia="黑体" w:hAnsi="黑体"/>
                <w:b/>
                <w:bCs/>
                <w:color w:val="000000"/>
                <w:kern w:val="0"/>
                <w:sz w:val="24"/>
                <w:szCs w:val="24"/>
              </w:rPr>
            </w:pPr>
            <w:r w:rsidRPr="00FF7126">
              <w:rPr>
                <w:rFonts w:ascii="黑体" w:eastAsia="黑体" w:hAnsi="黑体" w:cs="仿宋_GB2312" w:hint="eastAsia"/>
                <w:b/>
                <w:bCs/>
                <w:color w:val="000000"/>
                <w:kern w:val="0"/>
                <w:sz w:val="24"/>
                <w:szCs w:val="24"/>
              </w:rPr>
              <w:t>编号</w:t>
            </w:r>
          </w:p>
        </w:tc>
        <w:tc>
          <w:tcPr>
            <w:tcW w:w="2541" w:type="pct"/>
            <w:vMerge w:val="restart"/>
            <w:vAlign w:val="center"/>
          </w:tcPr>
          <w:p w:rsidR="00D67DB4" w:rsidRPr="00FF7126" w:rsidRDefault="00D67DB4" w:rsidP="008E3A2D">
            <w:pPr>
              <w:widowControl/>
              <w:spacing w:line="360" w:lineRule="exact"/>
              <w:jc w:val="center"/>
              <w:rPr>
                <w:rFonts w:ascii="黑体" w:eastAsia="黑体" w:hAnsi="黑体"/>
                <w:b/>
                <w:bCs/>
                <w:color w:val="000000"/>
                <w:kern w:val="0"/>
                <w:sz w:val="24"/>
                <w:szCs w:val="24"/>
              </w:rPr>
            </w:pPr>
            <w:r w:rsidRPr="00FF7126">
              <w:rPr>
                <w:rFonts w:ascii="黑体" w:eastAsia="黑体" w:hAnsi="黑体" w:cs="仿宋_GB2312" w:hint="eastAsia"/>
                <w:b/>
                <w:bCs/>
                <w:color w:val="000000"/>
                <w:kern w:val="0"/>
                <w:sz w:val="24"/>
                <w:szCs w:val="24"/>
              </w:rPr>
              <w:t>核查和评价方法</w:t>
            </w:r>
          </w:p>
        </w:tc>
        <w:tc>
          <w:tcPr>
            <w:tcW w:w="544" w:type="pct"/>
            <w:vMerge w:val="restart"/>
            <w:vAlign w:val="center"/>
          </w:tcPr>
          <w:p w:rsidR="00D67DB4" w:rsidRPr="00FF7126" w:rsidRDefault="00D67DB4" w:rsidP="008E3A2D">
            <w:pPr>
              <w:widowControl/>
              <w:spacing w:line="360" w:lineRule="exact"/>
              <w:jc w:val="center"/>
              <w:rPr>
                <w:rFonts w:ascii="黑体" w:eastAsia="黑体" w:hAnsi="黑体"/>
                <w:b/>
                <w:bCs/>
                <w:color w:val="000000"/>
                <w:kern w:val="0"/>
                <w:sz w:val="24"/>
                <w:szCs w:val="24"/>
              </w:rPr>
            </w:pPr>
            <w:r w:rsidRPr="00FF7126">
              <w:rPr>
                <w:rFonts w:ascii="黑体" w:eastAsia="黑体" w:hAnsi="黑体" w:cs="仿宋_GB2312" w:hint="eastAsia"/>
                <w:b/>
                <w:bCs/>
                <w:color w:val="000000"/>
                <w:kern w:val="0"/>
                <w:sz w:val="24"/>
                <w:szCs w:val="24"/>
              </w:rPr>
              <w:t>重要性</w:t>
            </w:r>
          </w:p>
        </w:tc>
        <w:tc>
          <w:tcPr>
            <w:tcW w:w="1252" w:type="pct"/>
            <w:gridSpan w:val="3"/>
            <w:vAlign w:val="center"/>
          </w:tcPr>
          <w:p w:rsidR="00D67DB4" w:rsidRPr="00FF7126" w:rsidRDefault="00D67DB4" w:rsidP="00D67DB4">
            <w:pPr>
              <w:widowControl/>
              <w:spacing w:line="360" w:lineRule="exact"/>
              <w:jc w:val="center"/>
              <w:rPr>
                <w:rFonts w:ascii="黑体" w:eastAsia="黑体" w:hAnsi="黑体"/>
                <w:b/>
                <w:bCs/>
                <w:color w:val="000000"/>
                <w:kern w:val="0"/>
                <w:sz w:val="24"/>
                <w:szCs w:val="24"/>
              </w:rPr>
            </w:pPr>
            <w:r>
              <w:rPr>
                <w:rFonts w:ascii="黑体" w:eastAsia="黑体" w:hAnsi="黑体" w:hint="eastAsia"/>
                <w:b/>
                <w:bCs/>
                <w:color w:val="000000"/>
                <w:kern w:val="0"/>
                <w:sz w:val="24"/>
                <w:szCs w:val="24"/>
              </w:rPr>
              <w:t>结果判定</w:t>
            </w:r>
          </w:p>
        </w:tc>
      </w:tr>
      <w:tr w:rsidR="00D67DB4" w:rsidRPr="00FF7126" w:rsidTr="00D67DB4">
        <w:trPr>
          <w:trHeight w:val="701"/>
          <w:tblHeader/>
          <w:jc w:val="center"/>
        </w:trPr>
        <w:tc>
          <w:tcPr>
            <w:tcW w:w="417" w:type="pct"/>
            <w:vMerge/>
            <w:vAlign w:val="center"/>
          </w:tcPr>
          <w:p w:rsidR="00D67DB4" w:rsidRPr="00FF7126" w:rsidRDefault="00D67DB4" w:rsidP="008E3A2D">
            <w:pPr>
              <w:widowControl/>
              <w:spacing w:line="360" w:lineRule="exact"/>
              <w:jc w:val="center"/>
              <w:rPr>
                <w:rFonts w:ascii="黑体" w:eastAsia="黑体" w:hAnsi="黑体" w:cs="仿宋_GB2312" w:hint="eastAsia"/>
                <w:b/>
                <w:bCs/>
                <w:color w:val="000000"/>
                <w:kern w:val="0"/>
                <w:sz w:val="24"/>
                <w:szCs w:val="24"/>
              </w:rPr>
            </w:pPr>
          </w:p>
        </w:tc>
        <w:tc>
          <w:tcPr>
            <w:tcW w:w="246" w:type="pct"/>
            <w:vMerge/>
            <w:vAlign w:val="center"/>
          </w:tcPr>
          <w:p w:rsidR="00D67DB4" w:rsidRPr="00FF7126" w:rsidRDefault="00D67DB4" w:rsidP="008E3A2D">
            <w:pPr>
              <w:widowControl/>
              <w:spacing w:line="360" w:lineRule="exact"/>
              <w:jc w:val="center"/>
              <w:rPr>
                <w:rFonts w:ascii="黑体" w:eastAsia="黑体" w:hAnsi="黑体" w:cs="仿宋_GB2312" w:hint="eastAsia"/>
                <w:b/>
                <w:bCs/>
                <w:color w:val="000000"/>
                <w:kern w:val="0"/>
                <w:sz w:val="24"/>
                <w:szCs w:val="24"/>
              </w:rPr>
            </w:pPr>
          </w:p>
        </w:tc>
        <w:tc>
          <w:tcPr>
            <w:tcW w:w="2541" w:type="pct"/>
            <w:vMerge/>
            <w:vAlign w:val="center"/>
          </w:tcPr>
          <w:p w:rsidR="00D67DB4" w:rsidRPr="00FF7126" w:rsidRDefault="00D67DB4" w:rsidP="008E3A2D">
            <w:pPr>
              <w:widowControl/>
              <w:spacing w:line="360" w:lineRule="exact"/>
              <w:jc w:val="center"/>
              <w:rPr>
                <w:rFonts w:ascii="黑体" w:eastAsia="黑体" w:hAnsi="黑体" w:cs="仿宋_GB2312" w:hint="eastAsia"/>
                <w:b/>
                <w:bCs/>
                <w:color w:val="000000"/>
                <w:kern w:val="0"/>
                <w:sz w:val="24"/>
                <w:szCs w:val="24"/>
              </w:rPr>
            </w:pPr>
          </w:p>
        </w:tc>
        <w:tc>
          <w:tcPr>
            <w:tcW w:w="544" w:type="pct"/>
            <w:vMerge/>
            <w:vAlign w:val="center"/>
          </w:tcPr>
          <w:p w:rsidR="00D67DB4" w:rsidRPr="00FF7126" w:rsidRDefault="00D67DB4" w:rsidP="008E3A2D">
            <w:pPr>
              <w:widowControl/>
              <w:spacing w:line="360" w:lineRule="exact"/>
              <w:jc w:val="center"/>
              <w:rPr>
                <w:rFonts w:ascii="黑体" w:eastAsia="黑体" w:hAnsi="黑体" w:cs="仿宋_GB2312" w:hint="eastAsia"/>
                <w:b/>
                <w:bCs/>
                <w:color w:val="000000"/>
                <w:kern w:val="0"/>
                <w:sz w:val="24"/>
                <w:szCs w:val="24"/>
              </w:rPr>
            </w:pPr>
          </w:p>
        </w:tc>
        <w:tc>
          <w:tcPr>
            <w:tcW w:w="417" w:type="pct"/>
            <w:vAlign w:val="center"/>
          </w:tcPr>
          <w:p w:rsidR="00D67DB4" w:rsidRPr="00FF7126" w:rsidRDefault="00D67DB4" w:rsidP="00D67DB4">
            <w:pPr>
              <w:widowControl/>
              <w:spacing w:line="300" w:lineRule="exact"/>
              <w:jc w:val="center"/>
              <w:rPr>
                <w:rFonts w:ascii="黑体" w:eastAsia="黑体" w:hAnsi="黑体"/>
                <w:b/>
                <w:bCs/>
                <w:color w:val="000000"/>
                <w:kern w:val="0"/>
                <w:sz w:val="24"/>
                <w:szCs w:val="24"/>
              </w:rPr>
            </w:pPr>
            <w:r>
              <w:rPr>
                <w:rFonts w:ascii="黑体" w:eastAsia="黑体" w:hAnsi="黑体" w:hint="eastAsia"/>
                <w:b/>
                <w:bCs/>
                <w:color w:val="000000"/>
                <w:kern w:val="0"/>
                <w:sz w:val="24"/>
                <w:szCs w:val="24"/>
              </w:rPr>
              <w:t>符合</w:t>
            </w:r>
          </w:p>
        </w:tc>
        <w:tc>
          <w:tcPr>
            <w:tcW w:w="417" w:type="pct"/>
            <w:vAlign w:val="center"/>
          </w:tcPr>
          <w:p w:rsidR="00D67DB4" w:rsidRDefault="00D67DB4" w:rsidP="00D67DB4">
            <w:pPr>
              <w:widowControl/>
              <w:spacing w:line="300" w:lineRule="exact"/>
              <w:jc w:val="center"/>
              <w:rPr>
                <w:rFonts w:ascii="黑体" w:eastAsia="黑体" w:hAnsi="黑体" w:hint="eastAsia"/>
                <w:b/>
                <w:bCs/>
                <w:color w:val="000000"/>
                <w:kern w:val="0"/>
                <w:sz w:val="24"/>
                <w:szCs w:val="24"/>
              </w:rPr>
            </w:pPr>
            <w:r>
              <w:rPr>
                <w:rFonts w:ascii="黑体" w:eastAsia="黑体" w:hAnsi="黑体" w:hint="eastAsia"/>
                <w:b/>
                <w:bCs/>
                <w:color w:val="000000"/>
                <w:kern w:val="0"/>
                <w:sz w:val="24"/>
                <w:szCs w:val="24"/>
              </w:rPr>
              <w:t>不</w:t>
            </w:r>
          </w:p>
          <w:p w:rsidR="00D67DB4" w:rsidRPr="00D67DB4" w:rsidRDefault="00D67DB4" w:rsidP="00D67DB4">
            <w:pPr>
              <w:widowControl/>
              <w:spacing w:line="300" w:lineRule="exact"/>
              <w:jc w:val="center"/>
              <w:rPr>
                <w:rFonts w:ascii="黑体" w:eastAsia="黑体" w:hAnsi="黑体"/>
                <w:b/>
                <w:bCs/>
                <w:color w:val="000000"/>
                <w:kern w:val="0"/>
                <w:sz w:val="24"/>
                <w:szCs w:val="24"/>
              </w:rPr>
            </w:pPr>
            <w:r>
              <w:rPr>
                <w:rFonts w:ascii="黑体" w:eastAsia="黑体" w:hAnsi="黑体" w:hint="eastAsia"/>
                <w:b/>
                <w:bCs/>
                <w:color w:val="000000"/>
                <w:kern w:val="0"/>
                <w:sz w:val="24"/>
                <w:szCs w:val="24"/>
              </w:rPr>
              <w:t>符合</w:t>
            </w:r>
          </w:p>
        </w:tc>
        <w:tc>
          <w:tcPr>
            <w:tcW w:w="418" w:type="pct"/>
            <w:vAlign w:val="center"/>
          </w:tcPr>
          <w:p w:rsidR="00D67DB4" w:rsidRDefault="00D67DB4" w:rsidP="00D67DB4">
            <w:pPr>
              <w:widowControl/>
              <w:spacing w:line="300" w:lineRule="exact"/>
              <w:jc w:val="center"/>
              <w:rPr>
                <w:rFonts w:ascii="黑体" w:eastAsia="黑体" w:hAnsi="黑体" w:hint="eastAsia"/>
                <w:b/>
                <w:bCs/>
                <w:color w:val="000000"/>
                <w:kern w:val="0"/>
                <w:sz w:val="24"/>
                <w:szCs w:val="24"/>
              </w:rPr>
            </w:pPr>
            <w:r>
              <w:rPr>
                <w:rFonts w:ascii="黑体" w:eastAsia="黑体" w:hAnsi="黑体" w:hint="eastAsia"/>
                <w:b/>
                <w:bCs/>
                <w:color w:val="000000"/>
                <w:kern w:val="0"/>
                <w:sz w:val="24"/>
                <w:szCs w:val="24"/>
              </w:rPr>
              <w:t>合理</w:t>
            </w:r>
          </w:p>
          <w:p w:rsidR="00D67DB4" w:rsidRPr="00FF7126" w:rsidRDefault="00D67DB4" w:rsidP="00D67DB4">
            <w:pPr>
              <w:widowControl/>
              <w:spacing w:line="300" w:lineRule="exact"/>
              <w:jc w:val="center"/>
              <w:rPr>
                <w:rFonts w:ascii="黑体" w:eastAsia="黑体" w:hAnsi="黑体"/>
                <w:b/>
                <w:bCs/>
                <w:color w:val="000000"/>
                <w:kern w:val="0"/>
                <w:sz w:val="24"/>
                <w:szCs w:val="24"/>
              </w:rPr>
            </w:pPr>
            <w:r>
              <w:rPr>
                <w:rFonts w:ascii="黑体" w:eastAsia="黑体" w:hAnsi="黑体" w:hint="eastAsia"/>
                <w:b/>
                <w:bCs/>
                <w:color w:val="000000"/>
                <w:kern w:val="0"/>
                <w:sz w:val="24"/>
                <w:szCs w:val="24"/>
              </w:rPr>
              <w:t>缺项</w:t>
            </w:r>
          </w:p>
        </w:tc>
      </w:tr>
      <w:tr w:rsidR="00D67DB4" w:rsidRPr="00FF7126" w:rsidTr="00D67DB4">
        <w:trPr>
          <w:trHeight w:val="2676"/>
          <w:jc w:val="center"/>
        </w:trPr>
        <w:tc>
          <w:tcPr>
            <w:tcW w:w="417" w:type="pct"/>
            <w:tcBorders>
              <w:bottom w:val="single" w:sz="4" w:space="0" w:color="auto"/>
            </w:tcBorders>
            <w:vAlign w:val="center"/>
          </w:tcPr>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1</w:t>
            </w:r>
            <w:r>
              <w:rPr>
                <w:rFonts w:asciiTheme="minorEastAsia" w:eastAsiaTheme="minorEastAsia" w:hAnsiTheme="minorEastAsia" w:cs="仿宋_GB2312" w:hint="eastAsia"/>
                <w:color w:val="000000"/>
                <w:kern w:val="0"/>
                <w:sz w:val="24"/>
                <w:szCs w:val="24"/>
              </w:rPr>
              <w:t>、</w:t>
            </w:r>
          </w:p>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选址</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1</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地势干燥、有给排水条件和电力供应，</w:t>
            </w:r>
            <w:r w:rsidRPr="00FF7126">
              <w:rPr>
                <w:rFonts w:asciiTheme="minorEastAsia" w:eastAsiaTheme="minorEastAsia" w:hAnsiTheme="minorEastAsia" w:cs="仿宋_GB2312" w:hint="eastAsia"/>
                <w:color w:val="000000" w:themeColor="text1"/>
                <w:kern w:val="0"/>
                <w:sz w:val="24"/>
                <w:szCs w:val="24"/>
              </w:rPr>
              <w:t>不得设在易受到污染的区域，以及有害废弃物、粉尘、有害气体、放射性物质和其他扩散性污染源不能有效清除的地点。周围不应有可导致虫害大量滋生的场所，难以避开时应采取必要的防范措施。</w:t>
            </w:r>
            <w:r w:rsidRPr="00FF7126">
              <w:rPr>
                <w:rFonts w:asciiTheme="minorEastAsia" w:eastAsiaTheme="minorEastAsia" w:hAnsiTheme="minorEastAsia" w:cs="仿宋_GB2312" w:hint="eastAsia"/>
                <w:color w:val="000000"/>
                <w:kern w:val="0"/>
                <w:sz w:val="24"/>
                <w:szCs w:val="24"/>
              </w:rPr>
              <w:t>距离粪坑、污水池、暴露垃圾场（站）、旱厕等污染源25</w:t>
            </w:r>
            <w:r w:rsidRPr="00FF7126">
              <w:rPr>
                <w:rFonts w:asciiTheme="minorEastAsia" w:eastAsiaTheme="minorEastAsia" w:hAnsiTheme="minorEastAsia" w:cs="仿宋_GB2312"/>
                <w:color w:val="000000"/>
                <w:kern w:val="0"/>
                <w:sz w:val="24"/>
                <w:szCs w:val="24"/>
              </w:rPr>
              <w:t>m</w:t>
            </w:r>
            <w:r w:rsidRPr="00FF7126">
              <w:rPr>
                <w:rFonts w:asciiTheme="minorEastAsia" w:eastAsiaTheme="minorEastAsia" w:hAnsiTheme="minorEastAsia" w:cs="仿宋_GB2312" w:hint="eastAsia"/>
                <w:color w:val="000000"/>
                <w:kern w:val="0"/>
                <w:sz w:val="24"/>
                <w:szCs w:val="24"/>
              </w:rPr>
              <w:t>以上</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hint="eastAsia"/>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264"/>
          <w:jc w:val="center"/>
        </w:trPr>
        <w:tc>
          <w:tcPr>
            <w:tcW w:w="417" w:type="pct"/>
            <w:vMerge w:val="restart"/>
            <w:vAlign w:val="center"/>
          </w:tcPr>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2</w:t>
            </w:r>
            <w:r>
              <w:rPr>
                <w:rFonts w:asciiTheme="minorEastAsia" w:eastAsiaTheme="minorEastAsia" w:hAnsiTheme="minorEastAsia" w:cs="仿宋_GB2312" w:hint="eastAsia"/>
                <w:color w:val="000000"/>
                <w:kern w:val="0"/>
                <w:sz w:val="24"/>
                <w:szCs w:val="24"/>
              </w:rPr>
              <w:t>、</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场所</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设置</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和</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布局</w:t>
            </w: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Default="00D67DB4" w:rsidP="008E3A2D">
            <w:pPr>
              <w:pStyle w:val="1"/>
              <w:spacing w:line="360" w:lineRule="exact"/>
              <w:ind w:firstLine="600"/>
            </w:pPr>
          </w:p>
          <w:p w:rsidR="00D67DB4" w:rsidRPr="008E3A2D" w:rsidRDefault="00D67DB4" w:rsidP="008E3A2D">
            <w:pPr>
              <w:pStyle w:val="1"/>
              <w:spacing w:line="360" w:lineRule="exact"/>
              <w:ind w:firstLine="600"/>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p w:rsidR="00D67DB4" w:rsidRPr="008E3A2D" w:rsidRDefault="00D67DB4" w:rsidP="008E3A2D">
            <w:pPr>
              <w:pStyle w:val="1"/>
              <w:ind w:firstLine="600"/>
            </w:pP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2</w:t>
            </w:r>
            <w:r>
              <w:rPr>
                <w:rFonts w:asciiTheme="minorEastAsia" w:eastAsiaTheme="minorEastAsia" w:hAnsiTheme="minorEastAsia" w:cs="仿宋_GB2312" w:hint="eastAsia"/>
                <w:color w:val="000000"/>
                <w:kern w:val="0"/>
                <w:sz w:val="24"/>
                <w:szCs w:val="24"/>
              </w:rPr>
              <w:t>、</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场所</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设置</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和</w:t>
            </w:r>
          </w:p>
          <w:p w:rsidR="00D67DB4" w:rsidRPr="008E3A2D" w:rsidRDefault="00D67DB4" w:rsidP="008E3A2D">
            <w:pPr>
              <w:pStyle w:val="1"/>
              <w:spacing w:line="360" w:lineRule="exact"/>
              <w:ind w:firstLineChars="0" w:firstLine="0"/>
            </w:pPr>
            <w:r w:rsidRPr="00FF7126">
              <w:rPr>
                <w:rFonts w:asciiTheme="minorEastAsia" w:eastAsiaTheme="minorEastAsia" w:hAnsiTheme="minorEastAsia" w:cs="仿宋_GB2312" w:hint="eastAsia"/>
                <w:color w:val="000000"/>
                <w:kern w:val="0"/>
                <w:sz w:val="24"/>
                <w:szCs w:val="24"/>
              </w:rPr>
              <w:t>布局</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lastRenderedPageBreak/>
              <w:t>2</w:t>
            </w:r>
          </w:p>
        </w:tc>
        <w:tc>
          <w:tcPr>
            <w:tcW w:w="2541" w:type="pct"/>
            <w:vAlign w:val="center"/>
          </w:tcPr>
          <w:p w:rsidR="00D67DB4" w:rsidRPr="00FF7126" w:rsidRDefault="00D67DB4" w:rsidP="008E3A2D">
            <w:pPr>
              <w:widowControl/>
              <w:tabs>
                <w:tab w:val="right" w:pos="7397"/>
              </w:tabs>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食品处理区面积不得小于</w:t>
            </w:r>
            <w:r w:rsidRPr="00FF7126">
              <w:rPr>
                <w:rFonts w:asciiTheme="minorEastAsia" w:eastAsiaTheme="minorEastAsia" w:hAnsiTheme="minorEastAsia" w:cs="仿宋_GB2312"/>
                <w:color w:val="000000"/>
                <w:kern w:val="0"/>
                <w:sz w:val="24"/>
                <w:szCs w:val="24"/>
              </w:rPr>
              <w:t>6</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ab/>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621"/>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3</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集中用餐单位食堂，供餐人数小于100人，食品处理区面积不小于30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，其中建筑工地食堂食品处理区面积不小于20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。供餐人数大于100人的，每增加1人，增加0.25</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2402"/>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普通餐饮，食品处理区(不含库房和专间)占加工经营场所使用面积的比例：150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以下（含150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）的≥1/4；150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～500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（含500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）的≥1/5；500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～1500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（含1500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）的≥1/6；1500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～3000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（含3000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）的≥1/7；3000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以上的≥1/8</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C5526B">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2124"/>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5</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设置与制售的食品品种、数量相适应的初加工、切配、烹饪、制作、餐用具清洗消毒、备（分）餐等加工操作场所，以及食品库房、更衣区、清洁工具存放场所等,各场所均设在室内</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907"/>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6</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themeColor="text1"/>
                <w:kern w:val="0"/>
                <w:sz w:val="24"/>
                <w:szCs w:val="24"/>
              </w:rPr>
            </w:pPr>
            <w:r w:rsidRPr="00FF7126">
              <w:rPr>
                <w:rFonts w:asciiTheme="minorEastAsia" w:eastAsiaTheme="minorEastAsia" w:hAnsiTheme="minorEastAsia" w:cs="仿宋_GB2312" w:hint="eastAsia"/>
                <w:color w:val="000000" w:themeColor="text1"/>
                <w:kern w:val="0"/>
                <w:sz w:val="24"/>
                <w:szCs w:val="24"/>
              </w:rPr>
              <w:t>有污染风险的下沉式隔油池设置在餐饮服务场所外或远离食品处理区的位置</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907"/>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7</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themeColor="text1"/>
                <w:kern w:val="0"/>
                <w:sz w:val="24"/>
                <w:szCs w:val="24"/>
              </w:rPr>
            </w:pPr>
            <w:r w:rsidRPr="00FF7126">
              <w:rPr>
                <w:rFonts w:asciiTheme="minorEastAsia" w:eastAsiaTheme="minorEastAsia" w:hAnsiTheme="minorEastAsia" w:cs="仿宋_GB2312" w:hint="eastAsia"/>
                <w:color w:val="000000" w:themeColor="text1"/>
                <w:kern w:val="0"/>
                <w:sz w:val="24"/>
                <w:szCs w:val="24"/>
              </w:rPr>
              <w:t>隔油装置安装于室内的，应设置通风换气装置</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1006"/>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8</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食品经营场所内无圈养、宰杀禽畜类动物的区域。食品处理区内不得设置办公室、卫生间</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591"/>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9</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食品处理区按照原料进入、原料加工制作、半成品加工制作、成品供应的流程合理布局，防止食品在存放、加工和传递中产生交叉污染</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191"/>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10</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kern w:val="0"/>
                <w:sz w:val="24"/>
                <w:szCs w:val="24"/>
              </w:rPr>
              <w:t>用于盛放原料、半成品、成品的容器和使用的工具、用具，应有明显的区分，分开定位存放</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547"/>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11</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设专用于清洁工具（如扫帚、拖把、抹布、刷子等）的清洗水池或设施，其位置不会污染食品及其加工制作过程。清洁工具的清洗水池应与餐用具清洗消毒水池、食品原料清洗水池明显区分</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907"/>
          <w:jc w:val="center"/>
        </w:trPr>
        <w:tc>
          <w:tcPr>
            <w:tcW w:w="417" w:type="pct"/>
            <w:vMerge/>
            <w:tcBorders>
              <w:top w:val="nil"/>
            </w:tcBorders>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olor w:val="000000"/>
                <w:kern w:val="0"/>
                <w:sz w:val="24"/>
                <w:szCs w:val="24"/>
              </w:rPr>
              <w:t>12</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外卖取餐区应与加工制作区分离，并标识明显</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1912"/>
          <w:jc w:val="center"/>
        </w:trPr>
        <w:tc>
          <w:tcPr>
            <w:tcW w:w="417" w:type="pct"/>
            <w:vMerge w:val="restart"/>
            <w:vAlign w:val="center"/>
          </w:tcPr>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3</w:t>
            </w:r>
            <w:r>
              <w:rPr>
                <w:rFonts w:asciiTheme="minorEastAsia" w:eastAsiaTheme="minorEastAsia" w:hAnsiTheme="minorEastAsia" w:cs="仿宋_GB2312" w:hint="eastAsia"/>
                <w:color w:val="000000"/>
                <w:kern w:val="0"/>
                <w:sz w:val="24"/>
                <w:szCs w:val="24"/>
              </w:rPr>
              <w:t>、</w:t>
            </w:r>
          </w:p>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初</w:t>
            </w:r>
          </w:p>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加工</w:t>
            </w:r>
          </w:p>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场所</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13</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有初加工过程的，应设置初加工场所，其面积与经营规模相适应，区域相对独立。餐饮服务单位食品处理区使用面积不小于30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或单位食堂餐饮服务场所使用面积不小于150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的，应设置有独立隔断的初加工场所</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2363"/>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14</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有初加工过程的，分别设置与加工品种相对应的食品原料清洗水池（可分为</w:t>
            </w:r>
            <w:r w:rsidRPr="00FF7126">
              <w:rPr>
                <w:rFonts w:asciiTheme="minorEastAsia" w:eastAsiaTheme="minorEastAsia" w:hAnsiTheme="minorEastAsia" w:cs="仿宋_GB2312" w:hint="eastAsia"/>
                <w:color w:val="000000"/>
                <w:kern w:val="0"/>
                <w:sz w:val="24"/>
                <w:szCs w:val="24"/>
                <w:lang w:val="zh-CN"/>
              </w:rPr>
              <w:t>植物性食品、动物性食品或</w:t>
            </w:r>
            <w:r w:rsidRPr="00FF7126">
              <w:rPr>
                <w:rFonts w:asciiTheme="minorEastAsia" w:eastAsiaTheme="minorEastAsia" w:hAnsiTheme="minorEastAsia" w:cs="仿宋_GB2312" w:hint="eastAsia"/>
                <w:color w:val="000000"/>
                <w:kern w:val="0"/>
                <w:sz w:val="24"/>
                <w:szCs w:val="24"/>
              </w:rPr>
              <w:t>植物性食品、畜禽产品、水产品等），水池数量和容量与加工食品的数量相适应。各类水池以明显标识标明其用途</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90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1</w:t>
            </w:r>
            <w:r w:rsidRPr="00FF7126">
              <w:rPr>
                <w:rFonts w:asciiTheme="minorEastAsia" w:eastAsiaTheme="minorEastAsia" w:hAnsiTheme="minorEastAsia" w:cs="仿宋_GB2312" w:hint="eastAsia"/>
                <w:color w:val="000000"/>
                <w:kern w:val="0"/>
                <w:sz w:val="24"/>
                <w:szCs w:val="24"/>
              </w:rPr>
              <w:t>5</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水产品原料需宰杀的应设置宰杀操作台</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2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2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20" w:lineRule="exact"/>
              <w:rPr>
                <w:rFonts w:asciiTheme="minorEastAsia" w:eastAsiaTheme="minorEastAsia" w:hAnsiTheme="minorEastAsia" w:cs="仿宋_GB2312"/>
                <w:color w:val="000000"/>
                <w:kern w:val="0"/>
                <w:sz w:val="24"/>
                <w:szCs w:val="24"/>
              </w:rPr>
            </w:pPr>
          </w:p>
        </w:tc>
      </w:tr>
      <w:tr w:rsidR="00D67DB4" w:rsidRPr="00FF7126" w:rsidTr="00D67DB4">
        <w:trPr>
          <w:trHeight w:val="907"/>
          <w:jc w:val="center"/>
        </w:trPr>
        <w:tc>
          <w:tcPr>
            <w:tcW w:w="417" w:type="pct"/>
            <w:vMerge w:val="restart"/>
            <w:vAlign w:val="center"/>
          </w:tcPr>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lastRenderedPageBreak/>
              <w:t>4</w:t>
            </w:r>
            <w:r>
              <w:rPr>
                <w:rFonts w:asciiTheme="minorEastAsia" w:eastAsiaTheme="minorEastAsia" w:hAnsiTheme="minorEastAsia" w:cs="仿宋_GB2312" w:hint="eastAsia"/>
                <w:color w:val="000000"/>
                <w:kern w:val="0"/>
                <w:sz w:val="24"/>
                <w:szCs w:val="24"/>
              </w:rPr>
              <w:t>、</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切配</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烹饪</w:t>
            </w:r>
          </w:p>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场所</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16</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切配、烹饪面积与经营规模相适应，区域相对独立</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2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2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20" w:lineRule="exact"/>
              <w:rPr>
                <w:rFonts w:asciiTheme="minorEastAsia" w:eastAsiaTheme="minorEastAsia" w:hAnsiTheme="minorEastAsia" w:cs="仿宋_GB2312"/>
                <w:color w:val="000000"/>
                <w:kern w:val="0"/>
                <w:sz w:val="24"/>
                <w:szCs w:val="24"/>
              </w:rPr>
            </w:pPr>
          </w:p>
        </w:tc>
      </w:tr>
      <w:tr w:rsidR="00D67DB4" w:rsidRPr="00FF7126" w:rsidTr="00D67DB4">
        <w:trPr>
          <w:trHeight w:val="907"/>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17</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kern w:val="0"/>
                <w:sz w:val="24"/>
                <w:szCs w:val="24"/>
              </w:rPr>
            </w:pPr>
            <w:r w:rsidRPr="00FF7126">
              <w:rPr>
                <w:rFonts w:asciiTheme="minorEastAsia" w:eastAsiaTheme="minorEastAsia" w:hAnsiTheme="minorEastAsia" w:cs="仿宋_GB2312" w:hint="eastAsia"/>
                <w:kern w:val="0"/>
                <w:sz w:val="24"/>
                <w:szCs w:val="24"/>
              </w:rPr>
              <w:t>烹饪场所应当设置机械排风设施和调温设施</w:t>
            </w:r>
          </w:p>
        </w:tc>
        <w:tc>
          <w:tcPr>
            <w:tcW w:w="544" w:type="pct"/>
            <w:vAlign w:val="center"/>
          </w:tcPr>
          <w:p w:rsidR="00D67DB4" w:rsidRPr="00FF7126"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2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2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20" w:lineRule="exact"/>
              <w:rPr>
                <w:rFonts w:asciiTheme="minorEastAsia" w:eastAsiaTheme="minorEastAsia" w:hAnsiTheme="minorEastAsia" w:cs="仿宋_GB2312"/>
                <w:color w:val="000000"/>
                <w:kern w:val="0"/>
                <w:sz w:val="24"/>
                <w:szCs w:val="24"/>
              </w:rPr>
            </w:pPr>
          </w:p>
        </w:tc>
      </w:tr>
      <w:tr w:rsidR="00D67DB4" w:rsidRPr="00FF7126" w:rsidTr="00D67DB4">
        <w:trPr>
          <w:trHeight w:val="2976"/>
          <w:jc w:val="center"/>
        </w:trPr>
        <w:tc>
          <w:tcPr>
            <w:tcW w:w="417" w:type="pct"/>
            <w:vMerge w:val="restart"/>
            <w:vAlign w:val="center"/>
          </w:tcPr>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5</w:t>
            </w:r>
            <w:r>
              <w:rPr>
                <w:rFonts w:asciiTheme="minorEastAsia" w:eastAsiaTheme="minorEastAsia" w:hAnsiTheme="minorEastAsia" w:cs="仿宋_GB2312" w:hint="eastAsia"/>
                <w:color w:val="000000"/>
                <w:kern w:val="0"/>
                <w:sz w:val="24"/>
                <w:szCs w:val="24"/>
              </w:rPr>
              <w:t>、</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餐用</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具</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清洗</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消毒</w:t>
            </w:r>
          </w:p>
          <w:p w:rsidR="00D67DB4" w:rsidRPr="00FF7126"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场所</w:t>
            </w:r>
          </w:p>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18</w:t>
            </w:r>
          </w:p>
        </w:tc>
        <w:tc>
          <w:tcPr>
            <w:tcW w:w="2541" w:type="pct"/>
            <w:vAlign w:val="center"/>
          </w:tcPr>
          <w:p w:rsidR="00D67DB4" w:rsidRPr="00FF7126" w:rsidRDefault="00D67DB4" w:rsidP="008E3A2D">
            <w:pPr>
              <w:widowControl/>
              <w:adjustRightInd w:val="0"/>
              <w:snapToGrid w:val="0"/>
              <w:spacing w:line="40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具备餐用具清洗消毒场所，面积与其经营规模相适应。餐饮服务单位食品处理区使用面积不小于30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或单位食堂餐饮服务场所使用面积不小于150</w:t>
            </w:r>
            <w:r w:rsidRPr="00FF7126">
              <w:rPr>
                <w:rFonts w:asciiTheme="minorEastAsia" w:eastAsiaTheme="minorEastAsia" w:hAnsiTheme="minorEastAsia" w:cs="宋体"/>
                <w:kern w:val="0"/>
                <w:sz w:val="24"/>
                <w:szCs w:val="24"/>
                <w:lang w:val="zh-CN"/>
              </w:rPr>
              <w:t>m</w:t>
            </w:r>
            <w:r w:rsidRPr="00FF7126">
              <w:rPr>
                <w:rFonts w:asciiTheme="minorEastAsia" w:eastAsiaTheme="minorEastAsia" w:hAnsiTheme="minorEastAsia" w:cs="宋体"/>
                <w:kern w:val="0"/>
                <w:sz w:val="24"/>
                <w:szCs w:val="24"/>
                <w:vertAlign w:val="superscript"/>
                <w:lang w:val="zh-CN"/>
              </w:rPr>
              <w:t>2</w:t>
            </w:r>
            <w:r w:rsidRPr="00FF7126">
              <w:rPr>
                <w:rFonts w:asciiTheme="minorEastAsia" w:eastAsiaTheme="minorEastAsia" w:hAnsiTheme="minorEastAsia" w:cs="仿宋_GB2312" w:hint="eastAsia"/>
                <w:color w:val="000000"/>
                <w:kern w:val="0"/>
                <w:sz w:val="24"/>
                <w:szCs w:val="24"/>
              </w:rPr>
              <w:t>的，须设置有独立隔断的餐用具清洗消毒场所，使用一次性餐（饮）具且单纯经营自制饮品项目的，可不设独立清洗消毒场所</w:t>
            </w:r>
          </w:p>
        </w:tc>
        <w:tc>
          <w:tcPr>
            <w:tcW w:w="544" w:type="pct"/>
            <w:vAlign w:val="center"/>
          </w:tcPr>
          <w:p w:rsidR="00D67DB4" w:rsidRPr="00FF7126" w:rsidRDefault="00D67DB4" w:rsidP="008E3A2D">
            <w:pPr>
              <w:widowControl/>
              <w:snapToGrid w:val="0"/>
              <w:spacing w:line="40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40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40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907"/>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19</w:t>
            </w:r>
          </w:p>
        </w:tc>
        <w:tc>
          <w:tcPr>
            <w:tcW w:w="2541" w:type="pct"/>
            <w:vAlign w:val="center"/>
          </w:tcPr>
          <w:p w:rsidR="00D67DB4" w:rsidRPr="00FF7126" w:rsidRDefault="00D67DB4" w:rsidP="008E3A2D">
            <w:pPr>
              <w:widowControl/>
              <w:adjustRightInd w:val="0"/>
              <w:snapToGrid w:val="0"/>
              <w:spacing w:line="40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配备能正常运转的餐用具清洗、消毒、保洁设备设施并专用，大小和数量能满足需要</w:t>
            </w:r>
          </w:p>
        </w:tc>
        <w:tc>
          <w:tcPr>
            <w:tcW w:w="544" w:type="pct"/>
            <w:vAlign w:val="center"/>
          </w:tcPr>
          <w:p w:rsidR="00D67DB4" w:rsidRPr="00FF7126" w:rsidRDefault="00D67DB4" w:rsidP="008E3A2D">
            <w:pPr>
              <w:widowControl/>
              <w:snapToGrid w:val="0"/>
              <w:spacing w:line="40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40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40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2621"/>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20</w:t>
            </w:r>
          </w:p>
        </w:tc>
        <w:tc>
          <w:tcPr>
            <w:tcW w:w="2541" w:type="pct"/>
            <w:vAlign w:val="center"/>
          </w:tcPr>
          <w:p w:rsidR="00D67DB4" w:rsidRPr="00FF7126" w:rsidRDefault="00D67DB4" w:rsidP="008E3A2D">
            <w:pPr>
              <w:widowControl/>
              <w:adjustRightInd w:val="0"/>
              <w:snapToGrid w:val="0"/>
              <w:spacing w:line="40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特大型、大型餐馆和学校食堂、托幼机构食堂、养老食堂餐用具的清洗</w:t>
            </w:r>
            <w:r w:rsidRPr="00FF7126">
              <w:rPr>
                <w:rFonts w:asciiTheme="minorEastAsia" w:eastAsiaTheme="minorEastAsia" w:hAnsiTheme="minorEastAsia" w:cs="仿宋_GB2312" w:hint="eastAsia"/>
                <w:color w:val="000000" w:themeColor="text1"/>
                <w:kern w:val="0"/>
                <w:sz w:val="24"/>
                <w:szCs w:val="24"/>
              </w:rPr>
              <w:t>消毒应当采用自动清洗消毒设备，保证餐用具光洁涩干无异味</w:t>
            </w:r>
            <w:r w:rsidRPr="00FF7126">
              <w:rPr>
                <w:rFonts w:asciiTheme="minorEastAsia" w:eastAsiaTheme="minorEastAsia" w:hAnsiTheme="minorEastAsia" w:cs="仿宋_GB2312" w:hint="eastAsia"/>
                <w:color w:val="000000"/>
                <w:kern w:val="0"/>
                <w:sz w:val="24"/>
                <w:szCs w:val="24"/>
              </w:rPr>
              <w:t>。学校食堂、托幼机构食堂、养老食堂的餐用具应当采用物理消毒方式（因材质无法采用的除外）进行双消毒</w:t>
            </w:r>
          </w:p>
        </w:tc>
        <w:tc>
          <w:tcPr>
            <w:tcW w:w="544" w:type="pct"/>
            <w:vAlign w:val="center"/>
          </w:tcPr>
          <w:p w:rsidR="00D67DB4" w:rsidRPr="00FF7126" w:rsidRDefault="00D67DB4" w:rsidP="008E3A2D">
            <w:pPr>
              <w:widowControl/>
              <w:snapToGrid w:val="0"/>
              <w:spacing w:line="40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40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40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400" w:lineRule="exact"/>
              <w:rPr>
                <w:rFonts w:asciiTheme="minorEastAsia" w:eastAsiaTheme="minorEastAsia" w:hAnsiTheme="minorEastAsia" w:cs="仿宋_GB2312"/>
                <w:color w:val="000000"/>
                <w:kern w:val="0"/>
                <w:sz w:val="24"/>
                <w:szCs w:val="24"/>
              </w:rPr>
            </w:pPr>
          </w:p>
        </w:tc>
      </w:tr>
      <w:tr w:rsidR="00D67DB4" w:rsidRPr="00FF7126" w:rsidTr="00D67DB4">
        <w:trPr>
          <w:trHeight w:val="1539"/>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21</w:t>
            </w:r>
          </w:p>
        </w:tc>
        <w:tc>
          <w:tcPr>
            <w:tcW w:w="2541" w:type="pct"/>
            <w:vAlign w:val="center"/>
          </w:tcPr>
          <w:p w:rsidR="00D67DB4" w:rsidRPr="00FF7126" w:rsidRDefault="00D67DB4" w:rsidP="008E3A2D">
            <w:pPr>
              <w:widowControl/>
              <w:adjustRightInd w:val="0"/>
              <w:snapToGrid w:val="0"/>
              <w:spacing w:line="40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其他类型餐饮单位，首选自动清洗消毒设备进行餐用具的清洗消毒，推荐采用物理消毒方式进行双消毒；</w:t>
            </w:r>
          </w:p>
        </w:tc>
        <w:tc>
          <w:tcPr>
            <w:tcW w:w="544" w:type="pct"/>
            <w:vAlign w:val="center"/>
          </w:tcPr>
          <w:p w:rsidR="00D67DB4" w:rsidRPr="00FF7126" w:rsidRDefault="00D67DB4" w:rsidP="008E3A2D">
            <w:pPr>
              <w:widowControl/>
              <w:snapToGrid w:val="0"/>
              <w:spacing w:line="40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40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40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400" w:lineRule="exact"/>
              <w:rPr>
                <w:rFonts w:asciiTheme="minorEastAsia" w:eastAsiaTheme="minorEastAsia" w:hAnsiTheme="minorEastAsia" w:cs="仿宋_GB2312"/>
                <w:color w:val="000000"/>
                <w:kern w:val="0"/>
                <w:sz w:val="24"/>
                <w:szCs w:val="24"/>
              </w:rPr>
            </w:pPr>
          </w:p>
        </w:tc>
      </w:tr>
      <w:tr w:rsidR="00D67DB4" w:rsidRPr="00FF7126" w:rsidTr="00D67DB4">
        <w:trPr>
          <w:trHeight w:val="1982"/>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2</w:t>
            </w:r>
            <w:r w:rsidRPr="00FF7126">
              <w:rPr>
                <w:rFonts w:asciiTheme="minorEastAsia" w:eastAsiaTheme="minorEastAsia" w:hAnsiTheme="minorEastAsia" w:cs="仿宋_GB2312" w:hint="eastAsia"/>
                <w:color w:val="000000"/>
                <w:kern w:val="0"/>
                <w:sz w:val="24"/>
                <w:szCs w:val="24"/>
              </w:rPr>
              <w:t>2</w:t>
            </w:r>
          </w:p>
        </w:tc>
        <w:tc>
          <w:tcPr>
            <w:tcW w:w="2541" w:type="pct"/>
            <w:vAlign w:val="center"/>
          </w:tcPr>
          <w:p w:rsidR="00D67DB4" w:rsidRPr="00FF7126" w:rsidRDefault="00D67DB4" w:rsidP="008E3A2D">
            <w:pPr>
              <w:widowControl/>
              <w:adjustRightInd w:val="0"/>
              <w:snapToGrid w:val="0"/>
              <w:spacing w:line="40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人工清洗餐用具的，推荐使用物理消毒方式进行消毒，根据需要设置清洗餐用具水池的数量；采用化学消毒的，至少设有</w:t>
            </w:r>
            <w:r w:rsidRPr="00FF7126">
              <w:rPr>
                <w:rFonts w:asciiTheme="minorEastAsia" w:eastAsiaTheme="minorEastAsia" w:hAnsiTheme="minorEastAsia" w:cs="仿宋_GB2312"/>
                <w:color w:val="000000"/>
                <w:kern w:val="0"/>
                <w:sz w:val="24"/>
                <w:szCs w:val="24"/>
              </w:rPr>
              <w:t>3</w:t>
            </w:r>
            <w:r w:rsidRPr="00FF7126">
              <w:rPr>
                <w:rFonts w:asciiTheme="minorEastAsia" w:eastAsiaTheme="minorEastAsia" w:hAnsiTheme="minorEastAsia" w:cs="仿宋_GB2312" w:hint="eastAsia"/>
                <w:color w:val="000000"/>
                <w:kern w:val="0"/>
                <w:sz w:val="24"/>
                <w:szCs w:val="24"/>
              </w:rPr>
              <w:t>个专用水池。各类水池以明显标识标明其用途</w:t>
            </w:r>
          </w:p>
        </w:tc>
        <w:tc>
          <w:tcPr>
            <w:tcW w:w="544" w:type="pct"/>
            <w:vAlign w:val="center"/>
          </w:tcPr>
          <w:p w:rsidR="00D67DB4" w:rsidRPr="00FF7126" w:rsidRDefault="00D67DB4" w:rsidP="008E3A2D">
            <w:pPr>
              <w:widowControl/>
              <w:snapToGrid w:val="0"/>
              <w:spacing w:line="40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40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40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400" w:lineRule="exact"/>
              <w:rPr>
                <w:rFonts w:asciiTheme="minorEastAsia" w:eastAsiaTheme="minorEastAsia" w:hAnsiTheme="minorEastAsia" w:cs="仿宋_GB2312"/>
                <w:color w:val="000000"/>
                <w:kern w:val="0"/>
                <w:sz w:val="24"/>
                <w:szCs w:val="24"/>
              </w:rPr>
            </w:pPr>
          </w:p>
        </w:tc>
      </w:tr>
      <w:tr w:rsidR="00D67DB4" w:rsidRPr="00FF7126" w:rsidTr="00D67DB4">
        <w:trPr>
          <w:trHeight w:val="2681"/>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23</w:t>
            </w:r>
          </w:p>
        </w:tc>
        <w:tc>
          <w:tcPr>
            <w:tcW w:w="2541" w:type="pct"/>
            <w:vAlign w:val="center"/>
          </w:tcPr>
          <w:p w:rsidR="00D67DB4" w:rsidRPr="00FF7126" w:rsidRDefault="00D67DB4" w:rsidP="008E3A2D">
            <w:pPr>
              <w:widowControl/>
              <w:adjustRightInd w:val="0"/>
              <w:snapToGrid w:val="0"/>
              <w:spacing w:line="40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特大型餐馆、大型餐馆、美食城、学校食堂应设置</w:t>
            </w:r>
            <w:r w:rsidRPr="00FF7126">
              <w:rPr>
                <w:rFonts w:asciiTheme="minorEastAsia" w:eastAsiaTheme="minorEastAsia" w:hAnsiTheme="minorEastAsia" w:cs="宋体" w:hint="eastAsia"/>
                <w:color w:val="000000"/>
                <w:kern w:val="0"/>
                <w:sz w:val="24"/>
                <w:szCs w:val="24"/>
              </w:rPr>
              <w:t>设专供存放消毒后餐用具的保洁间</w:t>
            </w:r>
            <w:r w:rsidRPr="00FF7126">
              <w:rPr>
                <w:rFonts w:asciiTheme="minorEastAsia" w:eastAsiaTheme="minorEastAsia" w:hAnsiTheme="minorEastAsia" w:cs="仿宋_GB2312" w:hint="eastAsia"/>
                <w:color w:val="000000"/>
                <w:kern w:val="0"/>
                <w:sz w:val="24"/>
                <w:szCs w:val="24"/>
              </w:rPr>
              <w:t>，不得设置在餐用具清洗消毒间内。其他类型餐饮单位可设立密闭的餐用具保洁柜，保洁柜应远离餐用具清洗消毒区域，且标记明显，利于防尘、清洁</w:t>
            </w:r>
          </w:p>
        </w:tc>
        <w:tc>
          <w:tcPr>
            <w:tcW w:w="544" w:type="pct"/>
            <w:vAlign w:val="center"/>
          </w:tcPr>
          <w:p w:rsidR="00D67DB4" w:rsidRPr="00FF7126" w:rsidRDefault="00D67DB4" w:rsidP="008E3A2D">
            <w:pPr>
              <w:widowControl/>
              <w:snapToGrid w:val="0"/>
              <w:spacing w:line="40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40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40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907"/>
          <w:jc w:val="center"/>
        </w:trPr>
        <w:tc>
          <w:tcPr>
            <w:tcW w:w="417" w:type="pct"/>
            <w:vMerge w:val="restart"/>
            <w:vAlign w:val="center"/>
          </w:tcPr>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6</w:t>
            </w:r>
            <w:r>
              <w:rPr>
                <w:rFonts w:asciiTheme="minorEastAsia" w:eastAsiaTheme="minorEastAsia" w:hAnsiTheme="minorEastAsia" w:cs="仿宋_GB2312" w:hint="eastAsia"/>
                <w:color w:val="000000"/>
                <w:kern w:val="0"/>
                <w:sz w:val="24"/>
                <w:szCs w:val="24"/>
              </w:rPr>
              <w:t>、</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地面</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与</w:t>
            </w:r>
          </w:p>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排水</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24</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hint="eastAsia"/>
                <w:color w:val="000000"/>
                <w:kern w:val="0"/>
                <w:sz w:val="24"/>
                <w:szCs w:val="24"/>
                <w:lang w:val="zh-CN"/>
              </w:rPr>
              <w:t>地面的铺设材料应当无毒、无异味、不透水、耐腐蚀。地面平坦防滑无破损，易于清洗</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191"/>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25</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themeColor="text1"/>
                <w:kern w:val="0"/>
                <w:sz w:val="24"/>
                <w:szCs w:val="24"/>
              </w:rPr>
            </w:pPr>
            <w:r w:rsidRPr="00FF7126">
              <w:rPr>
                <w:rFonts w:asciiTheme="minorEastAsia" w:eastAsiaTheme="minorEastAsia" w:hAnsiTheme="minorEastAsia" w:hint="eastAsia"/>
                <w:color w:val="000000"/>
                <w:kern w:val="0"/>
                <w:sz w:val="24"/>
                <w:szCs w:val="24"/>
                <w:lang w:val="zh-CN"/>
              </w:rPr>
              <w:t>需经常冲洗的场所地面和排水沟应有一定的排水坡度</w:t>
            </w:r>
            <w:r w:rsidRPr="00FF7126">
              <w:rPr>
                <w:rFonts w:asciiTheme="minorEastAsia" w:eastAsiaTheme="minorEastAsia" w:hAnsiTheme="minorEastAsia" w:cs="宋体" w:hint="eastAsia"/>
                <w:color w:val="000000"/>
                <w:kern w:val="0"/>
                <w:sz w:val="24"/>
                <w:szCs w:val="24"/>
              </w:rPr>
              <w:t>，不易积水</w:t>
            </w:r>
            <w:r w:rsidRPr="00FF7126">
              <w:rPr>
                <w:rFonts w:asciiTheme="minorEastAsia" w:eastAsiaTheme="minorEastAsia" w:hAnsiTheme="minorEastAsia" w:hint="eastAsia"/>
                <w:color w:val="000000"/>
                <w:kern w:val="0"/>
                <w:sz w:val="24"/>
                <w:szCs w:val="24"/>
                <w:lang w:val="zh-CN"/>
              </w:rPr>
              <w:t>。排水沟篦子应完整，篦子缝应小于10mm且无破损</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191"/>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26</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lang w:val="zh-CN"/>
              </w:rPr>
            </w:pPr>
            <w:r w:rsidRPr="00FF7126">
              <w:rPr>
                <w:rFonts w:asciiTheme="minorEastAsia" w:eastAsiaTheme="minorEastAsia" w:hAnsiTheme="minorEastAsia" w:hint="eastAsia"/>
                <w:color w:val="000000"/>
                <w:kern w:val="0"/>
                <w:sz w:val="24"/>
                <w:szCs w:val="24"/>
                <w:lang w:val="zh-CN"/>
              </w:rPr>
              <w:t>排水管道与外界相通的出口应有适当措施（缝隙小于</w:t>
            </w:r>
            <w:r w:rsidRPr="00FF7126">
              <w:rPr>
                <w:rFonts w:asciiTheme="minorEastAsia" w:eastAsiaTheme="minorEastAsia" w:hAnsiTheme="minorEastAsia" w:hint="eastAsia"/>
                <w:color w:val="000000"/>
                <w:kern w:val="0"/>
                <w:sz w:val="24"/>
                <w:szCs w:val="24"/>
              </w:rPr>
              <w:t>10</w:t>
            </w:r>
            <w:r w:rsidRPr="00FF7126">
              <w:rPr>
                <w:rFonts w:asciiTheme="minorEastAsia" w:eastAsiaTheme="minorEastAsia" w:hAnsiTheme="minorEastAsia" w:hint="eastAsia"/>
                <w:color w:val="000000"/>
                <w:kern w:val="0"/>
                <w:sz w:val="24"/>
                <w:szCs w:val="24"/>
                <w:lang w:val="zh-CN"/>
              </w:rPr>
              <w:t>mm的篦子），以防有害生物侵入</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1191"/>
          <w:jc w:val="center"/>
        </w:trPr>
        <w:tc>
          <w:tcPr>
            <w:tcW w:w="417" w:type="pct"/>
            <w:vMerge w:val="restart"/>
            <w:vAlign w:val="center"/>
          </w:tcPr>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7</w:t>
            </w:r>
            <w:r>
              <w:rPr>
                <w:rFonts w:asciiTheme="minorEastAsia" w:eastAsiaTheme="minorEastAsia" w:hAnsiTheme="minorEastAsia" w:cs="仿宋_GB2312" w:hint="eastAsia"/>
                <w:color w:val="000000"/>
                <w:kern w:val="0"/>
                <w:sz w:val="24"/>
                <w:szCs w:val="24"/>
              </w:rPr>
              <w:t>、</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墙壁</w:t>
            </w:r>
          </w:p>
          <w:p w:rsidR="00D67DB4"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与</w:t>
            </w:r>
          </w:p>
          <w:p w:rsidR="00D67DB4" w:rsidRPr="00FF7126" w:rsidRDefault="00D67DB4" w:rsidP="008E3A2D">
            <w:pPr>
              <w:widowControl/>
              <w:adjustRightInd w:val="0"/>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门窗</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27</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食品处理区墙壁采用的涂覆或铺设材料应无毒、无异味、不透水、防霉、不易脱落、易清洁</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191"/>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2</w:t>
            </w:r>
            <w:r w:rsidRPr="00FF7126">
              <w:rPr>
                <w:rFonts w:asciiTheme="minorEastAsia" w:eastAsiaTheme="minorEastAsia" w:hAnsiTheme="minorEastAsia" w:cs="仿宋_GB2312"/>
                <w:color w:val="000000"/>
                <w:kern w:val="0"/>
                <w:sz w:val="24"/>
                <w:szCs w:val="24"/>
              </w:rPr>
              <w:t>8</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食品处理区需经常冲洗的场所在操作高度范围内的墙面还应光滑、防水、不易积垢且易于清洗</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907"/>
          <w:jc w:val="center"/>
        </w:trPr>
        <w:tc>
          <w:tcPr>
            <w:tcW w:w="417" w:type="pct"/>
            <w:vMerge/>
            <w:vAlign w:val="center"/>
          </w:tcPr>
          <w:p w:rsidR="00D67DB4" w:rsidRPr="00FF7126" w:rsidRDefault="00D67DB4" w:rsidP="008E3A2D">
            <w:pPr>
              <w:widowControl/>
              <w:adjustRightInd w:val="0"/>
              <w:snapToGrid w:val="0"/>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29</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lang w:val="zh-CN"/>
              </w:rPr>
              <w:t>门、窗应闭合严密，采用不透水、坚固、不变形的材料制成，结构上应易于维护、清洁</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90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30</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lang w:val="zh-CN"/>
              </w:rPr>
              <w:t>需经常冲洗场所的门，表面应光滑，不易积垢</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136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kern w:val="0"/>
                <w:sz w:val="24"/>
                <w:szCs w:val="24"/>
              </w:rPr>
            </w:pPr>
            <w:r w:rsidRPr="00FF7126">
              <w:rPr>
                <w:rFonts w:asciiTheme="minorEastAsia" w:eastAsiaTheme="minorEastAsia" w:hAnsiTheme="minorEastAsia" w:cs="仿宋_GB2312"/>
                <w:kern w:val="0"/>
                <w:sz w:val="24"/>
                <w:szCs w:val="24"/>
              </w:rPr>
              <w:t>31</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lang w:val="zh-CN"/>
              </w:rPr>
            </w:pPr>
            <w:r w:rsidRPr="00FF7126">
              <w:rPr>
                <w:rFonts w:asciiTheme="minorEastAsia" w:eastAsiaTheme="minorEastAsia" w:hAnsiTheme="minorEastAsia" w:cs="仿宋_GB2312" w:hint="eastAsia"/>
                <w:color w:val="000000"/>
                <w:kern w:val="0"/>
                <w:sz w:val="24"/>
                <w:szCs w:val="24"/>
                <w:lang w:val="zh-CN"/>
              </w:rPr>
              <w:t>与外界直接想通的门、窗采取有效措施（如安装空气慕、防蝇帘、防虫纱网、挡鼠板等）防止有害生物侵入</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90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32</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lang w:val="zh-CN"/>
              </w:rPr>
            </w:pPr>
            <w:r w:rsidRPr="00FF7126">
              <w:rPr>
                <w:rFonts w:asciiTheme="minorEastAsia" w:eastAsiaTheme="minorEastAsia" w:hAnsiTheme="minorEastAsia" w:cs="仿宋_GB2312" w:hint="eastAsia"/>
                <w:color w:val="000000"/>
                <w:kern w:val="0"/>
                <w:sz w:val="24"/>
                <w:szCs w:val="24"/>
                <w:lang w:val="zh-CN"/>
              </w:rPr>
              <w:t>与外界直接相通的通风口、换气窗外部，应加装不小于16目的防虫筛网</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907"/>
          <w:jc w:val="center"/>
        </w:trPr>
        <w:tc>
          <w:tcPr>
            <w:tcW w:w="417" w:type="pct"/>
            <w:vMerge w:val="restart"/>
            <w:vAlign w:val="center"/>
          </w:tcPr>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8</w:t>
            </w:r>
            <w:r>
              <w:rPr>
                <w:rFonts w:asciiTheme="minorEastAsia" w:eastAsiaTheme="minorEastAsia" w:hAnsiTheme="minorEastAsia" w:cs="仿宋_GB2312" w:hint="eastAsia"/>
                <w:color w:val="000000"/>
                <w:kern w:val="0"/>
                <w:sz w:val="24"/>
                <w:szCs w:val="24"/>
              </w:rPr>
              <w:t>、</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天</w:t>
            </w:r>
          </w:p>
          <w:p w:rsidR="00D67DB4" w:rsidRDefault="00D67DB4" w:rsidP="008E3A2D">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花</w:t>
            </w:r>
          </w:p>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板</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33</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lang w:val="zh-CN"/>
              </w:rPr>
              <w:t>餐饮服务场所</w:t>
            </w:r>
            <w:r w:rsidRPr="00FF7126">
              <w:rPr>
                <w:rFonts w:asciiTheme="minorEastAsia" w:eastAsiaTheme="minorEastAsia" w:hAnsiTheme="minorEastAsia" w:cs="仿宋_GB2312" w:hint="eastAsia"/>
                <w:color w:val="000000"/>
                <w:kern w:val="0"/>
                <w:sz w:val="24"/>
                <w:szCs w:val="24"/>
              </w:rPr>
              <w:t>天花板的涂覆或装修材料应无毒、无异味、</w:t>
            </w:r>
            <w:r w:rsidRPr="00FF7126">
              <w:rPr>
                <w:rFonts w:asciiTheme="minorEastAsia" w:eastAsiaTheme="minorEastAsia" w:hAnsiTheme="minorEastAsia" w:cs="仿宋_GB2312" w:hint="eastAsia"/>
                <w:color w:val="000000"/>
                <w:kern w:val="0"/>
                <w:sz w:val="24"/>
                <w:szCs w:val="24"/>
                <w:lang w:val="zh-CN"/>
              </w:rPr>
              <w:t>防霉、不易脱落、易于清洁</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191"/>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kern w:val="0"/>
                <w:sz w:val="24"/>
                <w:szCs w:val="24"/>
              </w:rPr>
            </w:pPr>
            <w:r w:rsidRPr="00FF7126">
              <w:rPr>
                <w:rFonts w:asciiTheme="minorEastAsia" w:eastAsiaTheme="minorEastAsia" w:hAnsiTheme="minorEastAsia" w:hint="eastAsia"/>
                <w:kern w:val="0"/>
                <w:sz w:val="24"/>
                <w:szCs w:val="24"/>
              </w:rPr>
              <w:t>34</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FF0000"/>
                <w:kern w:val="0"/>
                <w:sz w:val="24"/>
                <w:szCs w:val="24"/>
              </w:rPr>
            </w:pPr>
            <w:r w:rsidRPr="00FF7126">
              <w:rPr>
                <w:rFonts w:asciiTheme="minorEastAsia" w:eastAsiaTheme="minorEastAsia" w:hAnsiTheme="minorEastAsia" w:cs="仿宋_GB2312" w:hint="eastAsia"/>
                <w:color w:val="000000"/>
                <w:kern w:val="0"/>
                <w:sz w:val="24"/>
                <w:szCs w:val="24"/>
                <w:lang w:val="zh-CN"/>
              </w:rPr>
              <w:t>食品烹饪、食品冷却、餐用具清洗消毒等区域天花板涂覆或装修的材料应不吸水、耐高温、耐腐蚀</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259"/>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35</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lang w:val="zh-CN"/>
              </w:rPr>
              <w:t>食品处理区食品</w:t>
            </w:r>
            <w:r w:rsidRPr="00FF7126">
              <w:rPr>
                <w:rFonts w:asciiTheme="minorEastAsia" w:eastAsiaTheme="minorEastAsia" w:hAnsiTheme="minorEastAsia" w:cs="仿宋_GB2312" w:hint="eastAsia"/>
                <w:color w:val="000000"/>
                <w:kern w:val="0"/>
                <w:sz w:val="24"/>
                <w:szCs w:val="24"/>
              </w:rPr>
              <w:t>半成品、成品和清洁餐用具暴露区域上方的天花板应能避免灰尘散落</w:t>
            </w:r>
            <w:r w:rsidRPr="00FF7126">
              <w:rPr>
                <w:rFonts w:asciiTheme="minorEastAsia" w:eastAsiaTheme="minorEastAsia" w:hAnsiTheme="minorEastAsia" w:cs="仿宋_GB2312"/>
                <w:color w:val="000000"/>
                <w:kern w:val="0"/>
                <w:sz w:val="24"/>
                <w:szCs w:val="24"/>
              </w:rPr>
              <w:t>,防止有害生物</w:t>
            </w:r>
            <w:r w:rsidRPr="00FF7126">
              <w:rPr>
                <w:rFonts w:asciiTheme="minorEastAsia" w:eastAsiaTheme="minorEastAsia" w:hAnsiTheme="minorEastAsia" w:cs="仿宋_GB2312" w:hint="eastAsia"/>
                <w:color w:val="000000"/>
                <w:kern w:val="0"/>
                <w:sz w:val="24"/>
                <w:szCs w:val="24"/>
              </w:rPr>
              <w:t>孳生和霉菌繁殖</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D67DB4">
        <w:trPr>
          <w:trHeight w:val="127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36</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lang w:val="zh-CN"/>
              </w:rPr>
            </w:pPr>
            <w:r w:rsidRPr="00FF7126">
              <w:rPr>
                <w:rFonts w:asciiTheme="minorEastAsia" w:eastAsiaTheme="minorEastAsia" w:hAnsiTheme="minorEastAsia" w:cs="仿宋_GB2312" w:hint="eastAsia"/>
                <w:color w:val="000000"/>
                <w:kern w:val="0"/>
                <w:sz w:val="24"/>
                <w:szCs w:val="24"/>
                <w:lang w:val="zh-CN"/>
              </w:rPr>
              <w:t>就餐区食品</w:t>
            </w:r>
            <w:r w:rsidRPr="00FF7126">
              <w:rPr>
                <w:rFonts w:asciiTheme="minorEastAsia" w:eastAsiaTheme="minorEastAsia" w:hAnsiTheme="minorEastAsia" w:cs="仿宋_GB2312" w:hint="eastAsia"/>
                <w:color w:val="000000"/>
                <w:kern w:val="0"/>
                <w:sz w:val="24"/>
                <w:szCs w:val="24"/>
              </w:rPr>
              <w:t>半成品、成品和清洁餐用具暴露区域上方的天花板应能避免灰尘散落</w:t>
            </w:r>
            <w:r w:rsidRPr="00FF7126">
              <w:rPr>
                <w:rFonts w:asciiTheme="minorEastAsia" w:eastAsiaTheme="minorEastAsia" w:hAnsiTheme="minorEastAsia" w:cs="仿宋_GB2312"/>
                <w:color w:val="000000"/>
                <w:kern w:val="0"/>
                <w:sz w:val="24"/>
                <w:szCs w:val="24"/>
              </w:rPr>
              <w:t>,防止有害生物</w:t>
            </w:r>
            <w:r w:rsidRPr="00FF7126">
              <w:rPr>
                <w:rFonts w:asciiTheme="minorEastAsia" w:eastAsiaTheme="minorEastAsia" w:hAnsiTheme="minorEastAsia" w:cs="仿宋_GB2312" w:hint="eastAsia"/>
                <w:color w:val="000000"/>
                <w:kern w:val="0"/>
                <w:sz w:val="24"/>
                <w:szCs w:val="24"/>
              </w:rPr>
              <w:t>孳生和霉菌繁殖</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90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37</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水蒸汽较多的场所的天花板有适当的坡度，在结构上减少凝结水滴落</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907"/>
          <w:jc w:val="center"/>
        </w:trPr>
        <w:tc>
          <w:tcPr>
            <w:tcW w:w="417" w:type="pct"/>
            <w:vMerge w:val="restart"/>
            <w:vAlign w:val="center"/>
          </w:tcPr>
          <w:p w:rsidR="00D67DB4" w:rsidRDefault="00D67DB4" w:rsidP="00AE4BD3">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9</w:t>
            </w:r>
            <w:r>
              <w:rPr>
                <w:rFonts w:asciiTheme="minorEastAsia" w:eastAsiaTheme="minorEastAsia" w:hAnsiTheme="minorEastAsia" w:cs="仿宋_GB2312" w:hint="eastAsia"/>
                <w:color w:val="000000"/>
                <w:kern w:val="0"/>
                <w:sz w:val="24"/>
                <w:szCs w:val="24"/>
              </w:rPr>
              <w:t>、</w:t>
            </w:r>
          </w:p>
          <w:p w:rsidR="00D67DB4" w:rsidRDefault="00D67DB4" w:rsidP="00AE4BD3">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洗手</w:t>
            </w:r>
          </w:p>
          <w:p w:rsidR="00D67DB4" w:rsidRPr="00FF7126" w:rsidRDefault="00D67DB4" w:rsidP="00AE4BD3">
            <w:pPr>
              <w:widowControl/>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消毒</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38</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食品处理区内设置足够数量的洗手设施，其位置设置在方便员工使用的区域</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CB6EA7">
        <w:trPr>
          <w:trHeight w:val="90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39</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lang w:val="zh-CN"/>
              </w:rPr>
              <w:t>洗手设施应采用不透水、不易积垢、易于清洁的材料制成</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CB6EA7">
        <w:trPr>
          <w:trHeight w:val="90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40</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lang w:val="zh-CN"/>
              </w:rPr>
              <w:t>员工专用洗手消毒设施附近应当有</w:t>
            </w:r>
            <w:r w:rsidRPr="00FF7126">
              <w:rPr>
                <w:rFonts w:asciiTheme="minorEastAsia" w:eastAsiaTheme="minorEastAsia" w:hAnsiTheme="minorEastAsia" w:cs="仿宋_GB2312" w:hint="eastAsia"/>
                <w:color w:val="000000"/>
                <w:kern w:val="0"/>
                <w:sz w:val="24"/>
                <w:szCs w:val="24"/>
              </w:rPr>
              <w:t>相应的洗手用品、干手设施和</w:t>
            </w:r>
            <w:r w:rsidRPr="00FF7126">
              <w:rPr>
                <w:rFonts w:asciiTheme="minorEastAsia" w:eastAsiaTheme="minorEastAsia" w:hAnsiTheme="minorEastAsia" w:cs="仿宋_GB2312" w:hint="eastAsia"/>
                <w:color w:val="000000"/>
                <w:kern w:val="0"/>
                <w:sz w:val="24"/>
                <w:szCs w:val="24"/>
                <w:lang w:val="zh-CN"/>
              </w:rPr>
              <w:t>洗手消毒方法标识</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CB6EA7">
        <w:trPr>
          <w:trHeight w:val="1191"/>
          <w:jc w:val="center"/>
        </w:trPr>
        <w:tc>
          <w:tcPr>
            <w:tcW w:w="417" w:type="pct"/>
            <w:vMerge w:val="restart"/>
            <w:vAlign w:val="center"/>
          </w:tcPr>
          <w:p w:rsidR="00D67DB4" w:rsidRDefault="00D67DB4" w:rsidP="00AE4BD3">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10</w:t>
            </w:r>
            <w:r>
              <w:rPr>
                <w:rFonts w:asciiTheme="minorEastAsia" w:eastAsiaTheme="minorEastAsia" w:hAnsiTheme="minorEastAsia" w:cs="仿宋_GB2312" w:hint="eastAsia"/>
                <w:color w:val="000000"/>
                <w:kern w:val="0"/>
                <w:sz w:val="24"/>
                <w:szCs w:val="24"/>
              </w:rPr>
              <w:t>、</w:t>
            </w:r>
            <w:r w:rsidRPr="00FF7126">
              <w:rPr>
                <w:rFonts w:asciiTheme="minorEastAsia" w:eastAsiaTheme="minorEastAsia" w:hAnsiTheme="minorEastAsia" w:cs="仿宋_GB2312" w:hint="eastAsia"/>
                <w:color w:val="000000"/>
                <w:kern w:val="0"/>
                <w:sz w:val="24"/>
                <w:szCs w:val="24"/>
              </w:rPr>
              <w:t>采光</w:t>
            </w:r>
          </w:p>
          <w:p w:rsidR="00D67DB4" w:rsidRPr="00FF7126" w:rsidRDefault="00D67DB4" w:rsidP="00AE4BD3">
            <w:pPr>
              <w:widowControl/>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照明</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41</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食品处理区有充足的自然采光或人工照明，光泽和亮度应满足食品加工需要，不应改变食品的感官色泽</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CB6EA7">
        <w:trPr>
          <w:trHeight w:val="90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42</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安装在裸露食品正上方的照明设施使用安全型照明设施或安装防护罩</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697"/>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43</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冷冻（藏）库房使用防爆灯</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D67DB4">
        <w:trPr>
          <w:trHeight w:val="1191"/>
          <w:jc w:val="center"/>
        </w:trPr>
        <w:tc>
          <w:tcPr>
            <w:tcW w:w="417" w:type="pct"/>
            <w:vMerge w:val="restart"/>
            <w:vAlign w:val="center"/>
          </w:tcPr>
          <w:p w:rsidR="00D67DB4" w:rsidRDefault="00D67DB4" w:rsidP="00AE4BD3">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lastRenderedPageBreak/>
              <w:t>11</w:t>
            </w:r>
            <w:r>
              <w:rPr>
                <w:rFonts w:asciiTheme="minorEastAsia" w:eastAsiaTheme="minorEastAsia" w:hAnsiTheme="minorEastAsia" w:cs="仿宋_GB2312" w:hint="eastAsia"/>
                <w:color w:val="000000"/>
                <w:kern w:val="0"/>
                <w:sz w:val="24"/>
                <w:szCs w:val="24"/>
              </w:rPr>
              <w:t>、</w:t>
            </w:r>
          </w:p>
          <w:p w:rsidR="00D67DB4" w:rsidRDefault="00D67DB4" w:rsidP="00AE4BD3">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废弃</w:t>
            </w:r>
          </w:p>
          <w:p w:rsidR="00D67DB4" w:rsidRDefault="00D67DB4" w:rsidP="00AE4BD3">
            <w:pPr>
              <w:widowControl/>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物</w:t>
            </w:r>
          </w:p>
          <w:p w:rsidR="00D67DB4" w:rsidRPr="00FF7126" w:rsidRDefault="00D67DB4" w:rsidP="00AE4BD3">
            <w:pPr>
              <w:widowControl/>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暂存</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44</w:t>
            </w:r>
          </w:p>
        </w:tc>
        <w:tc>
          <w:tcPr>
            <w:tcW w:w="2541" w:type="pct"/>
            <w:vAlign w:val="center"/>
          </w:tcPr>
          <w:p w:rsidR="00D67DB4" w:rsidRPr="00FF7126" w:rsidRDefault="00D67DB4" w:rsidP="00AE4BD3">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食品处理区设废弃物存放设施。废弃物存放设施与食品加工制作容器有明显的区分标识</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CB6EA7">
        <w:trPr>
          <w:trHeight w:val="911"/>
          <w:jc w:val="center"/>
        </w:trPr>
        <w:tc>
          <w:tcPr>
            <w:tcW w:w="417" w:type="pct"/>
            <w:vMerge/>
            <w:vAlign w:val="center"/>
          </w:tcPr>
          <w:p w:rsidR="00D67DB4" w:rsidRPr="00FF7126" w:rsidRDefault="00D67DB4" w:rsidP="008E3A2D">
            <w:pPr>
              <w:widowControl/>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45</w:t>
            </w:r>
          </w:p>
        </w:tc>
        <w:tc>
          <w:tcPr>
            <w:tcW w:w="2541" w:type="pct"/>
            <w:vAlign w:val="center"/>
          </w:tcPr>
          <w:p w:rsidR="00D67DB4" w:rsidRPr="00FF7126" w:rsidRDefault="00D67DB4" w:rsidP="00AE4BD3">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废弃物存放设施应有盖，能够防止污水渗漏、不良气味溢出和蚊虫滋生，并易于清洁</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CB6EA7">
        <w:trPr>
          <w:trHeight w:val="2399"/>
          <w:jc w:val="center"/>
        </w:trPr>
        <w:tc>
          <w:tcPr>
            <w:tcW w:w="417" w:type="pct"/>
            <w:vMerge w:val="restart"/>
            <w:vAlign w:val="center"/>
          </w:tcPr>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12</w:t>
            </w:r>
            <w:r>
              <w:rPr>
                <w:rFonts w:asciiTheme="minorEastAsia" w:eastAsiaTheme="minorEastAsia" w:hAnsiTheme="minorEastAsia" w:cs="仿宋_GB2312" w:hint="eastAsia"/>
                <w:color w:val="000000"/>
                <w:kern w:val="0"/>
                <w:sz w:val="24"/>
                <w:szCs w:val="24"/>
              </w:rPr>
              <w:t>、</w:t>
            </w:r>
          </w:p>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食品</w:t>
            </w:r>
          </w:p>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贮存</w:t>
            </w:r>
          </w:p>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场所</w:t>
            </w:r>
          </w:p>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和</w:t>
            </w:r>
          </w:p>
          <w:p w:rsidR="00D67DB4"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贮存</w:t>
            </w:r>
          </w:p>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设施</w:t>
            </w:r>
          </w:p>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46</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食品库房不得存放非食品物质（不会导致食品污染的食品容器、包装材料、工具等物品除外），同一库房内贮存原料、半成品、成品、包装材料的，应分设存放区域并显著标示，分离或分隔存放，防止交叉污染，并满足温湿度需求</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1129"/>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47</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使用食品添加剂的应设专柜（位）贮存，标注“食品添加剂”字样，并与食品、食品相关产品等分开存放</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1259"/>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48</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库房内或食品贮存场所应设置足够数量的存放架，其结构及位置能够做到隔墙离地，以利于空气流通及物品搬运，避免虫害藏匿</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851"/>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49</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冷藏、冷冻柜（库）数量和结构能使原料、半成品和成品分开存放，有明显区分标识</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1609"/>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50</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除冷藏、冷冻库外的库房设置通风、防潮及防止有害生物入侵的装置。设置挡鼠板（金属材质或非金属材质包铁皮），高度应不低于60cm</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916"/>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51</w:t>
            </w:r>
          </w:p>
        </w:tc>
        <w:tc>
          <w:tcPr>
            <w:tcW w:w="2541" w:type="pct"/>
            <w:vAlign w:val="center"/>
          </w:tcPr>
          <w:p w:rsidR="00D67DB4" w:rsidRPr="00FF7126" w:rsidRDefault="00D67DB4" w:rsidP="008E3A2D">
            <w:pPr>
              <w:widowControl/>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冷藏、冷冻柜（库）应设有可正确显示内部温度的测温装置</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1269"/>
          <w:jc w:val="center"/>
        </w:trPr>
        <w:tc>
          <w:tcPr>
            <w:tcW w:w="417" w:type="pct"/>
            <w:vAlign w:val="center"/>
          </w:tcPr>
          <w:p w:rsidR="00D67DB4" w:rsidRDefault="00D67DB4" w:rsidP="00AE4BD3">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13</w:t>
            </w:r>
            <w:r>
              <w:rPr>
                <w:rFonts w:asciiTheme="minorEastAsia" w:eastAsiaTheme="minorEastAsia" w:hAnsiTheme="minorEastAsia" w:cs="仿宋_GB2312" w:hint="eastAsia"/>
                <w:color w:val="000000"/>
                <w:kern w:val="0"/>
                <w:sz w:val="24"/>
                <w:szCs w:val="24"/>
              </w:rPr>
              <w:t>、</w:t>
            </w:r>
          </w:p>
          <w:p w:rsidR="00D67DB4" w:rsidRDefault="00D67DB4" w:rsidP="00AE4BD3">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更衣</w:t>
            </w:r>
          </w:p>
          <w:p w:rsidR="00D67DB4" w:rsidRPr="00FF7126" w:rsidRDefault="00D67DB4" w:rsidP="00AE4BD3">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区</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color w:val="000000"/>
                <w:kern w:val="0"/>
                <w:sz w:val="24"/>
                <w:szCs w:val="24"/>
              </w:rPr>
              <w:t>52</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更衣场所与食品处理区处于</w:t>
            </w:r>
            <w:r w:rsidRPr="00FF7126">
              <w:rPr>
                <w:rFonts w:asciiTheme="minorEastAsia" w:eastAsiaTheme="minorEastAsia" w:hAnsiTheme="minorEastAsia" w:cs="仿宋_GB2312" w:hint="eastAsia"/>
                <w:kern w:val="0"/>
                <w:sz w:val="24"/>
                <w:szCs w:val="24"/>
              </w:rPr>
              <w:t>同一建筑物</w:t>
            </w:r>
            <w:r w:rsidRPr="00FF7126">
              <w:rPr>
                <w:rFonts w:asciiTheme="minorEastAsia" w:eastAsiaTheme="minorEastAsia" w:hAnsiTheme="minorEastAsia" w:cs="仿宋_GB2312" w:hint="eastAsia"/>
                <w:color w:val="000000"/>
                <w:kern w:val="0"/>
                <w:sz w:val="24"/>
                <w:szCs w:val="24"/>
              </w:rPr>
              <w:t>内，更衣设施的数量应满足需要</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CB6EA7">
        <w:trPr>
          <w:trHeight w:val="1831"/>
          <w:jc w:val="center"/>
        </w:trPr>
        <w:tc>
          <w:tcPr>
            <w:tcW w:w="417" w:type="pct"/>
            <w:vMerge w:val="restart"/>
            <w:vAlign w:val="center"/>
          </w:tcPr>
          <w:p w:rsidR="00D67DB4" w:rsidRDefault="00D67DB4" w:rsidP="00AE4BD3">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lastRenderedPageBreak/>
              <w:t>14</w:t>
            </w:r>
            <w:r>
              <w:rPr>
                <w:rFonts w:asciiTheme="minorEastAsia" w:eastAsiaTheme="minorEastAsia" w:hAnsiTheme="minorEastAsia" w:cs="仿宋_GB2312" w:hint="eastAsia"/>
                <w:color w:val="000000"/>
                <w:kern w:val="0"/>
                <w:sz w:val="24"/>
                <w:szCs w:val="24"/>
              </w:rPr>
              <w:t>、</w:t>
            </w:r>
          </w:p>
          <w:p w:rsidR="00D67DB4" w:rsidRPr="00FF7126" w:rsidRDefault="00D67DB4" w:rsidP="00AE4BD3">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其他</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olor w:val="000000"/>
                <w:kern w:val="0"/>
                <w:sz w:val="24"/>
                <w:szCs w:val="24"/>
              </w:rPr>
              <w:t>53</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学校食堂、托幼机构食堂、托育机构食堂、养老食堂应通过采用透明玻璃窗(或玻璃幕墙)、视频显示、隔断矮墙或设置参观窗口等方式方法，将制售关键部位和环节进行展示，实现明厨亮灶</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1545"/>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54</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其他餐饮单位应通过采用透明玻璃窗(或玻璃幕墙)、视频显示、隔断矮墙或设置参观窗口等方式方法，将制售关键部位和环节进行展示，实现明厨亮灶</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1127"/>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olor w:val="000000"/>
                <w:kern w:val="0"/>
                <w:sz w:val="24"/>
                <w:szCs w:val="24"/>
              </w:rPr>
              <w:t>55</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非食品处理区设置卫生间的，其出口不应与食品处理区直接连通，附近应当设置洗手、消毒、烘干设施</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824"/>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olor w:val="000000"/>
                <w:kern w:val="0"/>
                <w:sz w:val="24"/>
                <w:szCs w:val="24"/>
              </w:rPr>
              <w:t>56</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hint="eastAsia"/>
                <w:color w:val="000000"/>
                <w:kern w:val="0"/>
                <w:sz w:val="24"/>
                <w:szCs w:val="24"/>
              </w:rPr>
              <w:t>普通餐饮、集中用餐单位食堂的就餐区应设置洗手、干手设施</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一般项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1544"/>
          <w:jc w:val="center"/>
        </w:trPr>
        <w:tc>
          <w:tcPr>
            <w:tcW w:w="417"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s="仿宋_GB2312"/>
                <w:color w:val="000000"/>
                <w:kern w:val="0"/>
                <w:sz w:val="24"/>
                <w:szCs w:val="24"/>
              </w:rPr>
              <w:t>15</w:t>
            </w:r>
            <w:r w:rsidRPr="00FF7126">
              <w:rPr>
                <w:rFonts w:asciiTheme="minorEastAsia" w:eastAsiaTheme="minorEastAsia" w:hAnsiTheme="minorEastAsia" w:cs="仿宋_GB2312" w:hint="eastAsia"/>
                <w:color w:val="000000"/>
                <w:kern w:val="0"/>
                <w:sz w:val="24"/>
                <w:szCs w:val="24"/>
              </w:rPr>
              <w:t>.留样</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color w:val="000000"/>
                <w:kern w:val="0"/>
                <w:sz w:val="24"/>
                <w:szCs w:val="24"/>
              </w:rPr>
              <w:t>57</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kern w:val="0"/>
                <w:sz w:val="24"/>
                <w:szCs w:val="24"/>
              </w:rPr>
            </w:pPr>
            <w:r w:rsidRPr="00FF7126">
              <w:rPr>
                <w:rFonts w:asciiTheme="minorEastAsia" w:eastAsiaTheme="minorEastAsia" w:hAnsiTheme="minorEastAsia" w:cs="仿宋_GB2312" w:hint="eastAsia"/>
                <w:kern w:val="0"/>
                <w:sz w:val="24"/>
                <w:szCs w:val="24"/>
              </w:rPr>
              <w:t>特大型餐饮、大型餐饮、学校食堂、托幼机构食堂、托育机构食堂、医疗机构食堂、养老食堂和建筑工地食堂应配备留样专用容器和冷藏设施</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1566"/>
          <w:jc w:val="center"/>
        </w:trPr>
        <w:tc>
          <w:tcPr>
            <w:tcW w:w="417" w:type="pct"/>
            <w:vMerge w:val="restar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16.制度</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hint="eastAsia"/>
                <w:color w:val="000000"/>
                <w:kern w:val="0"/>
                <w:sz w:val="24"/>
                <w:szCs w:val="24"/>
              </w:rPr>
              <w:t>5</w:t>
            </w:r>
            <w:r w:rsidRPr="00FF7126">
              <w:rPr>
                <w:rFonts w:asciiTheme="minorEastAsia" w:eastAsiaTheme="minorEastAsia" w:hAnsiTheme="minorEastAsia"/>
                <w:color w:val="000000"/>
                <w:kern w:val="0"/>
                <w:sz w:val="24"/>
                <w:szCs w:val="24"/>
              </w:rPr>
              <w:t>8</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kern w:val="0"/>
                <w:sz w:val="24"/>
                <w:szCs w:val="24"/>
              </w:rPr>
            </w:pPr>
            <w:r w:rsidRPr="00FF7126">
              <w:rPr>
                <w:rFonts w:asciiTheme="minorEastAsia" w:eastAsiaTheme="minorEastAsia" w:hAnsiTheme="minorEastAsia" w:cs="仿宋_GB2312" w:hint="eastAsia"/>
                <w:kern w:val="0"/>
                <w:sz w:val="24"/>
                <w:szCs w:val="24"/>
              </w:rPr>
              <w:t>制定与实际经营状况相符合的保证食品安全的规章制度并形成书面材料，主要制度内容至少包括从业人员健康管理制度、食品安全自查制度等</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r w:rsidR="00D67DB4" w:rsidRPr="00FF7126" w:rsidTr="00CB6EA7">
        <w:trPr>
          <w:trHeight w:val="1554"/>
          <w:jc w:val="center"/>
        </w:trPr>
        <w:tc>
          <w:tcPr>
            <w:tcW w:w="417" w:type="pct"/>
            <w:vMerge/>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hint="eastAsia"/>
                <w:color w:val="000000"/>
                <w:kern w:val="0"/>
                <w:sz w:val="24"/>
                <w:szCs w:val="24"/>
              </w:rPr>
              <w:t>5</w:t>
            </w:r>
            <w:r w:rsidRPr="00FF7126">
              <w:rPr>
                <w:rFonts w:asciiTheme="minorEastAsia" w:eastAsiaTheme="minorEastAsia" w:hAnsiTheme="minorEastAsia"/>
                <w:color w:val="000000"/>
                <w:kern w:val="0"/>
                <w:sz w:val="24"/>
                <w:szCs w:val="24"/>
              </w:rPr>
              <w:t>9</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kern w:val="0"/>
                <w:sz w:val="24"/>
                <w:szCs w:val="24"/>
              </w:rPr>
            </w:pPr>
            <w:r w:rsidRPr="00FF7126">
              <w:rPr>
                <w:rFonts w:asciiTheme="minorEastAsia" w:eastAsiaTheme="minorEastAsia" w:hAnsiTheme="minorEastAsia" w:cs="仿宋_GB2312" w:hint="eastAsia"/>
                <w:kern w:val="0"/>
                <w:sz w:val="24"/>
                <w:szCs w:val="24"/>
              </w:rPr>
              <w:t>食品经营企业和集中用餐单位食堂还应当建立从业人员培训制度、食品进货查验记录制度、食品贮存管理制度、不合格食品处置制度、食品安全突发事件应急处置方案等</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s="仿宋_GB2312"/>
                <w:color w:val="000000"/>
                <w:kern w:val="0"/>
                <w:sz w:val="24"/>
                <w:szCs w:val="24"/>
              </w:rPr>
            </w:pPr>
          </w:p>
        </w:tc>
        <w:tc>
          <w:tcPr>
            <w:tcW w:w="418" w:type="pct"/>
            <w:vAlign w:val="center"/>
          </w:tcPr>
          <w:p w:rsidR="00D67DB4" w:rsidRPr="00FF7126" w:rsidRDefault="00D67DB4" w:rsidP="008E3A2D">
            <w:pPr>
              <w:spacing w:line="360" w:lineRule="exact"/>
              <w:rPr>
                <w:rFonts w:asciiTheme="minorEastAsia" w:eastAsiaTheme="minorEastAsia" w:hAnsiTheme="minorEastAsia" w:cs="仿宋_GB2312"/>
                <w:color w:val="000000"/>
                <w:kern w:val="0"/>
                <w:sz w:val="24"/>
                <w:szCs w:val="24"/>
              </w:rPr>
            </w:pPr>
          </w:p>
        </w:tc>
      </w:tr>
      <w:tr w:rsidR="00D67DB4" w:rsidRPr="00FF7126" w:rsidTr="00CB6EA7">
        <w:trPr>
          <w:trHeight w:val="820"/>
          <w:jc w:val="center"/>
        </w:trPr>
        <w:tc>
          <w:tcPr>
            <w:tcW w:w="417"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sidRPr="00FF7126">
              <w:rPr>
                <w:rFonts w:asciiTheme="minorEastAsia" w:eastAsiaTheme="minorEastAsia" w:hAnsiTheme="minorEastAsia" w:cs="仿宋_GB2312" w:hint="eastAsia"/>
                <w:color w:val="000000"/>
                <w:kern w:val="0"/>
                <w:sz w:val="24"/>
                <w:szCs w:val="24"/>
              </w:rPr>
              <w:t>17.人员</w:t>
            </w:r>
          </w:p>
        </w:tc>
        <w:tc>
          <w:tcPr>
            <w:tcW w:w="246"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olor w:val="000000"/>
                <w:kern w:val="0"/>
                <w:sz w:val="24"/>
                <w:szCs w:val="24"/>
              </w:rPr>
            </w:pPr>
            <w:r w:rsidRPr="00FF7126">
              <w:rPr>
                <w:rFonts w:asciiTheme="minorEastAsia" w:eastAsiaTheme="minorEastAsia" w:hAnsiTheme="minorEastAsia" w:hint="eastAsia"/>
                <w:color w:val="000000"/>
                <w:kern w:val="0"/>
                <w:sz w:val="24"/>
                <w:szCs w:val="24"/>
              </w:rPr>
              <w:t>60</w:t>
            </w:r>
          </w:p>
        </w:tc>
        <w:tc>
          <w:tcPr>
            <w:tcW w:w="2541" w:type="pct"/>
            <w:vAlign w:val="center"/>
          </w:tcPr>
          <w:p w:rsidR="00D67DB4" w:rsidRPr="00FF7126" w:rsidRDefault="00D67DB4" w:rsidP="008E3A2D">
            <w:pPr>
              <w:widowControl/>
              <w:adjustRightInd w:val="0"/>
              <w:snapToGrid w:val="0"/>
              <w:spacing w:line="360" w:lineRule="exact"/>
              <w:rPr>
                <w:rFonts w:asciiTheme="minorEastAsia" w:eastAsiaTheme="minorEastAsia" w:hAnsiTheme="minorEastAsia" w:cs="仿宋_GB2312"/>
                <w:kern w:val="0"/>
                <w:sz w:val="24"/>
                <w:szCs w:val="24"/>
              </w:rPr>
            </w:pPr>
            <w:r w:rsidRPr="00FF7126">
              <w:rPr>
                <w:rFonts w:asciiTheme="minorEastAsia" w:eastAsiaTheme="minorEastAsia" w:hAnsiTheme="minorEastAsia" w:cs="仿宋_GB2312" w:hint="eastAsia"/>
                <w:kern w:val="0"/>
                <w:sz w:val="24"/>
                <w:szCs w:val="24"/>
                <w:lang w:val="zh-CN"/>
              </w:rPr>
              <w:t>食品经营单位应当配备专职或兼职食品安全总监、食品安全员等食品安全管理人员</w:t>
            </w:r>
          </w:p>
        </w:tc>
        <w:tc>
          <w:tcPr>
            <w:tcW w:w="544" w:type="pct"/>
            <w:vAlign w:val="center"/>
          </w:tcPr>
          <w:p w:rsidR="00D67DB4" w:rsidRPr="00FF7126" w:rsidRDefault="00D67DB4" w:rsidP="008E3A2D">
            <w:pPr>
              <w:widowControl/>
              <w:snapToGrid w:val="0"/>
              <w:spacing w:line="360" w:lineRule="exact"/>
              <w:jc w:val="center"/>
              <w:rPr>
                <w:rFonts w:asciiTheme="minorEastAsia" w:eastAsiaTheme="minorEastAsia" w:hAnsiTheme="minorEastAsia" w:cs="仿宋_GB2312"/>
                <w:color w:val="000000"/>
                <w:kern w:val="0"/>
                <w:sz w:val="24"/>
                <w:szCs w:val="24"/>
              </w:rPr>
            </w:pPr>
            <w:r>
              <w:rPr>
                <w:rFonts w:asciiTheme="minorEastAsia" w:eastAsiaTheme="minorEastAsia" w:hAnsiTheme="minorEastAsia" w:cs="仿宋_GB2312"/>
                <w:color w:val="000000"/>
                <w:kern w:val="0"/>
                <w:sz w:val="24"/>
                <w:szCs w:val="24"/>
              </w:rPr>
              <w:t>重点项</w:t>
            </w: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7" w:type="pct"/>
            <w:vAlign w:val="center"/>
          </w:tcPr>
          <w:p w:rsidR="00D67DB4" w:rsidRPr="00FF7126" w:rsidRDefault="00D67DB4" w:rsidP="00D67DB4">
            <w:pPr>
              <w:spacing w:line="360" w:lineRule="exact"/>
              <w:rPr>
                <w:rFonts w:asciiTheme="minorEastAsia" w:eastAsiaTheme="minorEastAsia" w:hAnsiTheme="minorEastAsia"/>
                <w:color w:val="000000"/>
                <w:kern w:val="0"/>
                <w:sz w:val="24"/>
                <w:szCs w:val="24"/>
              </w:rPr>
            </w:pPr>
          </w:p>
        </w:tc>
        <w:tc>
          <w:tcPr>
            <w:tcW w:w="418" w:type="pct"/>
            <w:vAlign w:val="center"/>
          </w:tcPr>
          <w:p w:rsidR="00D67DB4" w:rsidRDefault="00D67DB4" w:rsidP="00D67DB4">
            <w:pPr>
              <w:spacing w:line="360" w:lineRule="exact"/>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不得</w:t>
            </w:r>
          </w:p>
          <w:p w:rsidR="00D67DB4" w:rsidRPr="00D67DB4" w:rsidRDefault="00D67DB4" w:rsidP="00D67DB4">
            <w:pPr>
              <w:spacing w:line="360" w:lineRule="exact"/>
              <w:jc w:val="center"/>
            </w:pPr>
            <w:r>
              <w:rPr>
                <w:rFonts w:asciiTheme="minorEastAsia" w:eastAsiaTheme="minorEastAsia" w:hAnsiTheme="minorEastAsia" w:hint="eastAsia"/>
                <w:color w:val="000000"/>
                <w:kern w:val="0"/>
                <w:sz w:val="24"/>
                <w:szCs w:val="24"/>
              </w:rPr>
              <w:t>缺项</w:t>
            </w:r>
          </w:p>
        </w:tc>
      </w:tr>
    </w:tbl>
    <w:p w:rsidR="00AE4BD3" w:rsidRDefault="00AE4BD3" w:rsidP="00AE4BD3">
      <w:pPr>
        <w:spacing w:line="200" w:lineRule="exact"/>
        <w:rPr>
          <w:rFonts w:asciiTheme="majorEastAsia" w:eastAsiaTheme="majorEastAsia" w:hAnsiTheme="majorEastAsia" w:cs="仿宋_GB2312"/>
          <w:color w:val="000000"/>
          <w:sz w:val="24"/>
          <w:szCs w:val="24"/>
        </w:rPr>
      </w:pPr>
      <w:r>
        <w:rPr>
          <w:rFonts w:asciiTheme="majorEastAsia" w:eastAsiaTheme="majorEastAsia" w:hAnsiTheme="majorEastAsia" w:cs="仿宋_GB2312" w:hint="eastAsia"/>
          <w:color w:val="000000"/>
          <w:sz w:val="24"/>
          <w:szCs w:val="24"/>
        </w:rPr>
        <w:t xml:space="preserve"> </w:t>
      </w:r>
    </w:p>
    <w:p w:rsidR="00AE4BD3" w:rsidRDefault="00AE4BD3" w:rsidP="00AE4BD3">
      <w:pPr>
        <w:spacing w:line="400" w:lineRule="exact"/>
        <w:rPr>
          <w:rFonts w:asciiTheme="majorEastAsia" w:eastAsiaTheme="majorEastAsia" w:hAnsiTheme="majorEastAsia" w:cs="仿宋_GB2312"/>
          <w:color w:val="000000"/>
          <w:sz w:val="24"/>
          <w:szCs w:val="24"/>
        </w:rPr>
      </w:pPr>
      <w:r w:rsidRPr="00AE4BD3">
        <w:rPr>
          <w:rFonts w:ascii="黑体" w:eastAsia="黑体" w:hAnsi="黑体" w:cs="仿宋_GB2312" w:hint="eastAsia"/>
          <w:b/>
          <w:color w:val="000000"/>
          <w:sz w:val="24"/>
          <w:szCs w:val="24"/>
        </w:rPr>
        <w:t>【</w:t>
      </w:r>
      <w:r w:rsidR="00215D40" w:rsidRPr="00AE4BD3">
        <w:rPr>
          <w:rFonts w:ascii="黑体" w:eastAsia="黑体" w:hAnsi="黑体" w:cs="仿宋_GB2312" w:hint="eastAsia"/>
          <w:b/>
          <w:color w:val="000000"/>
          <w:sz w:val="24"/>
          <w:szCs w:val="24"/>
        </w:rPr>
        <w:t>说明</w:t>
      </w:r>
      <w:r w:rsidRPr="00AE4BD3">
        <w:rPr>
          <w:rFonts w:ascii="黑体" w:eastAsia="黑体" w:hAnsi="黑体" w:cs="仿宋_GB2312" w:hint="eastAsia"/>
          <w:b/>
          <w:color w:val="000000"/>
          <w:sz w:val="24"/>
          <w:szCs w:val="24"/>
        </w:rPr>
        <w:t>】</w:t>
      </w:r>
      <w:r w:rsidR="00215D40" w:rsidRPr="00AE4BD3">
        <w:rPr>
          <w:rFonts w:asciiTheme="majorEastAsia" w:eastAsiaTheme="majorEastAsia" w:hAnsiTheme="majorEastAsia" w:cs="仿宋_GB2312" w:hint="eastAsia"/>
          <w:color w:val="000000"/>
          <w:sz w:val="24"/>
          <w:szCs w:val="24"/>
        </w:rPr>
        <w:t>本表共60项，其中重点</w:t>
      </w:r>
      <w:r>
        <w:rPr>
          <w:rFonts w:asciiTheme="majorEastAsia" w:eastAsiaTheme="majorEastAsia" w:hAnsiTheme="majorEastAsia" w:cs="仿宋_GB2312" w:hint="eastAsia"/>
          <w:color w:val="000000"/>
          <w:sz w:val="24"/>
          <w:szCs w:val="24"/>
        </w:rPr>
        <w:t>项</w:t>
      </w:r>
      <w:r w:rsidR="00215D40" w:rsidRPr="00AE4BD3">
        <w:rPr>
          <w:rFonts w:asciiTheme="majorEastAsia" w:eastAsiaTheme="majorEastAsia" w:hAnsiTheme="majorEastAsia" w:cs="仿宋_GB2312"/>
          <w:color w:val="000000"/>
          <w:sz w:val="24"/>
          <w:szCs w:val="24"/>
        </w:rPr>
        <w:t>3</w:t>
      </w:r>
      <w:r w:rsidR="00215D40" w:rsidRPr="00AE4BD3">
        <w:rPr>
          <w:rFonts w:asciiTheme="majorEastAsia" w:eastAsiaTheme="majorEastAsia" w:hAnsiTheme="majorEastAsia" w:cs="仿宋_GB2312" w:hint="eastAsia"/>
          <w:color w:val="000000"/>
          <w:sz w:val="24"/>
          <w:szCs w:val="24"/>
        </w:rPr>
        <w:t>7项，一般项</w:t>
      </w:r>
      <w:r w:rsidR="00215D40" w:rsidRPr="00AE4BD3">
        <w:rPr>
          <w:rFonts w:asciiTheme="majorEastAsia" w:eastAsiaTheme="majorEastAsia" w:hAnsiTheme="majorEastAsia" w:cs="仿宋_GB2312"/>
          <w:color w:val="000000"/>
          <w:sz w:val="24"/>
          <w:szCs w:val="24"/>
        </w:rPr>
        <w:t>2</w:t>
      </w:r>
      <w:r w:rsidR="00215D40" w:rsidRPr="00AE4BD3">
        <w:rPr>
          <w:rFonts w:asciiTheme="majorEastAsia" w:eastAsiaTheme="majorEastAsia" w:hAnsiTheme="majorEastAsia" w:cs="仿宋_GB2312" w:hint="eastAsia"/>
          <w:color w:val="000000"/>
          <w:sz w:val="24"/>
          <w:szCs w:val="24"/>
        </w:rPr>
        <w:t>3项。判定原则：重点项必须全部</w:t>
      </w:r>
    </w:p>
    <w:p w:rsidR="00215D40" w:rsidRPr="00AE4BD3" w:rsidRDefault="00215D40" w:rsidP="00AE4BD3">
      <w:pPr>
        <w:spacing w:line="400" w:lineRule="exact"/>
        <w:ind w:firstLineChars="450" w:firstLine="1080"/>
        <w:rPr>
          <w:rFonts w:asciiTheme="majorEastAsia" w:eastAsiaTheme="majorEastAsia" w:hAnsiTheme="majorEastAsia" w:cs="仿宋_GB2312"/>
          <w:color w:val="000000"/>
          <w:sz w:val="24"/>
          <w:szCs w:val="24"/>
        </w:rPr>
      </w:pPr>
      <w:r w:rsidRPr="00AE4BD3">
        <w:rPr>
          <w:rFonts w:asciiTheme="majorEastAsia" w:eastAsiaTheme="majorEastAsia" w:hAnsiTheme="majorEastAsia" w:cs="仿宋_GB2312" w:hint="eastAsia"/>
          <w:color w:val="000000"/>
          <w:sz w:val="24"/>
          <w:szCs w:val="24"/>
        </w:rPr>
        <w:t>符合，一般项符合数≥所勾选一般项的</w:t>
      </w:r>
      <w:r w:rsidRPr="00AE4BD3">
        <w:rPr>
          <w:rFonts w:asciiTheme="majorEastAsia" w:eastAsiaTheme="majorEastAsia" w:hAnsiTheme="majorEastAsia" w:cs="仿宋_GB2312"/>
          <w:color w:val="000000"/>
          <w:sz w:val="24"/>
          <w:szCs w:val="24"/>
        </w:rPr>
        <w:t>70%</w:t>
      </w:r>
      <w:r w:rsidR="00AE4BD3">
        <w:rPr>
          <w:rFonts w:asciiTheme="majorEastAsia" w:eastAsiaTheme="majorEastAsia" w:hAnsiTheme="majorEastAsia" w:cs="仿宋_GB2312" w:hint="eastAsia"/>
          <w:color w:val="000000"/>
          <w:sz w:val="24"/>
          <w:szCs w:val="24"/>
        </w:rPr>
        <w:t>，</w:t>
      </w:r>
      <w:r w:rsidR="00AE4BD3" w:rsidRPr="0044696A">
        <w:rPr>
          <w:rFonts w:asciiTheme="minorEastAsia" w:eastAsiaTheme="minorEastAsia" w:hAnsiTheme="minorEastAsia" w:cs="宋体" w:hint="eastAsia"/>
          <w:bCs/>
          <w:color w:val="000000"/>
          <w:kern w:val="0"/>
          <w:sz w:val="24"/>
          <w:szCs w:val="24"/>
        </w:rPr>
        <w:t>方为现场核查合格。</w:t>
      </w:r>
    </w:p>
    <w:p w:rsidR="00215D40" w:rsidRDefault="00215D40" w:rsidP="00215D40"/>
    <w:p w:rsidR="00215D40" w:rsidRDefault="00215D40" w:rsidP="00215D40">
      <w:pPr>
        <w:pStyle w:val="1"/>
        <w:ind w:firstLine="600"/>
      </w:pP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7905"/>
      </w:tblGrid>
      <w:tr w:rsidR="00215D40" w:rsidTr="00AE4BD3">
        <w:trPr>
          <w:trHeight w:val="2630"/>
          <w:jc w:val="center"/>
        </w:trPr>
        <w:tc>
          <w:tcPr>
            <w:tcW w:w="969" w:type="dxa"/>
            <w:vMerge w:val="restart"/>
            <w:vAlign w:val="center"/>
          </w:tcPr>
          <w:p w:rsidR="00215D40" w:rsidRDefault="00215D40" w:rsidP="008E3A2D">
            <w:pPr>
              <w:spacing w:line="580" w:lineRule="atLeast"/>
              <w:jc w:val="center"/>
              <w:rPr>
                <w:rFonts w:ascii="黑体" w:eastAsia="黑体" w:hAnsi="黑体"/>
                <w:sz w:val="30"/>
                <w:szCs w:val="30"/>
              </w:rPr>
            </w:pPr>
            <w:r>
              <w:rPr>
                <w:rFonts w:ascii="黑体" w:eastAsia="黑体" w:hAnsi="黑体" w:hint="eastAsia"/>
                <w:sz w:val="30"/>
                <w:szCs w:val="30"/>
              </w:rPr>
              <w:t>核查</w:t>
            </w:r>
          </w:p>
          <w:p w:rsidR="00215D40" w:rsidRDefault="00215D40" w:rsidP="008E3A2D">
            <w:pPr>
              <w:spacing w:line="580" w:lineRule="atLeast"/>
              <w:jc w:val="center"/>
              <w:rPr>
                <w:rFonts w:ascii="仿宋_GB2312" w:eastAsia="仿宋_GB2312" w:hAnsi="宋体" w:cs="仿宋_GB2312"/>
                <w:color w:val="000000"/>
                <w:kern w:val="0"/>
              </w:rPr>
            </w:pPr>
            <w:r>
              <w:rPr>
                <w:rFonts w:ascii="黑体" w:eastAsia="黑体" w:hAnsi="黑体" w:hint="eastAsia"/>
                <w:sz w:val="30"/>
                <w:szCs w:val="30"/>
              </w:rPr>
              <w:t>记录</w:t>
            </w:r>
          </w:p>
        </w:tc>
        <w:tc>
          <w:tcPr>
            <w:tcW w:w="11225" w:type="dxa"/>
            <w:vAlign w:val="center"/>
          </w:tcPr>
          <w:p w:rsidR="00215D40" w:rsidRPr="00AE4BD3" w:rsidRDefault="00AE4BD3" w:rsidP="00AE4BD3">
            <w:pPr>
              <w:widowControl/>
              <w:adjustRightInd w:val="0"/>
              <w:snapToGrid w:val="0"/>
              <w:spacing w:line="560" w:lineRule="exact"/>
              <w:jc w:val="left"/>
              <w:rPr>
                <w:rFonts w:ascii="黑体" w:eastAsia="黑体" w:hAnsi="黑体" w:cs="仿宋_GB2312"/>
                <w:b/>
                <w:kern w:val="0"/>
                <w:sz w:val="28"/>
                <w:szCs w:val="28"/>
              </w:rPr>
            </w:pPr>
            <w:r>
              <w:rPr>
                <w:rFonts w:ascii="黑体" w:eastAsia="黑体" w:hAnsi="黑体" w:cs="仿宋_GB2312" w:hint="eastAsia"/>
                <w:b/>
                <w:kern w:val="0"/>
                <w:sz w:val="28"/>
                <w:szCs w:val="28"/>
              </w:rPr>
              <w:t>【</w:t>
            </w:r>
            <w:r w:rsidR="00215D40" w:rsidRPr="00AE4BD3">
              <w:rPr>
                <w:rFonts w:ascii="黑体" w:eastAsia="黑体" w:hAnsi="黑体" w:cs="仿宋_GB2312" w:hint="eastAsia"/>
                <w:b/>
                <w:kern w:val="0"/>
                <w:sz w:val="28"/>
                <w:szCs w:val="28"/>
              </w:rPr>
              <w:t>重点项</w:t>
            </w:r>
            <w:r>
              <w:rPr>
                <w:rFonts w:ascii="黑体" w:eastAsia="黑体" w:hAnsi="黑体" w:cs="仿宋_GB2312" w:hint="eastAsia"/>
                <w:b/>
                <w:kern w:val="0"/>
                <w:sz w:val="28"/>
                <w:szCs w:val="28"/>
              </w:rPr>
              <w:t>】</w:t>
            </w:r>
          </w:p>
          <w:p w:rsidR="00215D40" w:rsidRPr="00AE4BD3" w:rsidRDefault="00215D40" w:rsidP="00AE4BD3">
            <w:pPr>
              <w:widowControl/>
              <w:adjustRightInd w:val="0"/>
              <w:snapToGrid w:val="0"/>
              <w:spacing w:line="560" w:lineRule="exact"/>
              <w:jc w:val="left"/>
              <w:rPr>
                <w:rFonts w:ascii="仿宋_GB2312" w:eastAsia="仿宋_GB2312" w:hAnsi="仿宋_GB2312" w:cs="仿宋_GB2312"/>
                <w:kern w:val="0"/>
                <w:sz w:val="28"/>
                <w:szCs w:val="28"/>
                <w:u w:val="single"/>
              </w:rPr>
            </w:pPr>
            <w:r w:rsidRPr="00AE4BD3">
              <w:rPr>
                <w:rFonts w:ascii="仿宋_GB2312" w:eastAsia="仿宋_GB2312" w:hAnsi="仿宋_GB2312" w:cs="仿宋_GB2312" w:hint="eastAsia"/>
                <w:kern w:val="0"/>
                <w:sz w:val="28"/>
                <w:szCs w:val="28"/>
                <w:u w:val="single"/>
              </w:rPr>
              <w:t xml:space="preserve">    </w:t>
            </w:r>
            <w:r w:rsidRPr="00AE4BD3">
              <w:rPr>
                <w:rFonts w:ascii="仿宋_GB2312" w:eastAsia="仿宋_GB2312" w:hAnsi="仿宋_GB2312" w:cs="仿宋_GB2312" w:hint="eastAsia"/>
                <w:kern w:val="0"/>
                <w:sz w:val="28"/>
                <w:szCs w:val="28"/>
              </w:rPr>
              <w:t>项符合；</w:t>
            </w:r>
          </w:p>
          <w:p w:rsidR="00215D40" w:rsidRPr="00AE4BD3" w:rsidRDefault="00215D40" w:rsidP="00AE4BD3">
            <w:pPr>
              <w:widowControl/>
              <w:adjustRightInd w:val="0"/>
              <w:snapToGrid w:val="0"/>
              <w:spacing w:line="560" w:lineRule="exact"/>
              <w:jc w:val="left"/>
              <w:rPr>
                <w:rFonts w:ascii="仿宋_GB2312" w:eastAsia="仿宋_GB2312" w:hAnsi="仿宋_GB2312" w:cs="仿宋_GB2312"/>
                <w:kern w:val="0"/>
                <w:sz w:val="28"/>
                <w:szCs w:val="28"/>
                <w:u w:val="single"/>
              </w:rPr>
            </w:pPr>
            <w:r w:rsidRPr="00AE4BD3">
              <w:rPr>
                <w:rFonts w:ascii="仿宋_GB2312" w:eastAsia="仿宋_GB2312" w:hAnsi="仿宋_GB2312" w:cs="仿宋_GB2312" w:hint="eastAsia"/>
                <w:kern w:val="0"/>
                <w:sz w:val="28"/>
                <w:szCs w:val="28"/>
                <w:u w:val="single"/>
              </w:rPr>
              <w:t xml:space="preserve">    </w:t>
            </w:r>
            <w:r w:rsidRPr="00AE4BD3">
              <w:rPr>
                <w:rFonts w:ascii="仿宋_GB2312" w:eastAsia="仿宋_GB2312" w:hAnsi="仿宋_GB2312" w:cs="仿宋_GB2312" w:hint="eastAsia"/>
                <w:kern w:val="0"/>
                <w:sz w:val="28"/>
                <w:szCs w:val="28"/>
              </w:rPr>
              <w:t>项不符合，不符合项编号为：</w:t>
            </w:r>
            <w:r w:rsidRPr="00AE4BD3">
              <w:rPr>
                <w:rFonts w:ascii="仿宋_GB2312" w:eastAsia="仿宋_GB2312" w:hAnsi="仿宋_GB2312" w:cs="仿宋_GB2312" w:hint="eastAsia"/>
                <w:kern w:val="0"/>
                <w:sz w:val="28"/>
                <w:szCs w:val="28"/>
                <w:u w:val="single"/>
              </w:rPr>
              <w:t xml:space="preserve">                               </w:t>
            </w:r>
          </w:p>
          <w:p w:rsidR="00215D40" w:rsidRPr="00AE4BD3" w:rsidRDefault="00215D40" w:rsidP="00AE4BD3">
            <w:pPr>
              <w:pStyle w:val="1"/>
              <w:spacing w:line="560" w:lineRule="exact"/>
              <w:ind w:firstLineChars="0" w:firstLine="0"/>
              <w:jc w:val="left"/>
              <w:rPr>
                <w:rFonts w:ascii="仿宋_GB2312" w:eastAsia="仿宋_GB2312" w:hAnsi="仿宋_GB2312" w:cs="仿宋_GB2312"/>
                <w:sz w:val="28"/>
                <w:szCs w:val="28"/>
              </w:rPr>
            </w:pPr>
            <w:r w:rsidRPr="00AE4BD3">
              <w:rPr>
                <w:rFonts w:ascii="仿宋_GB2312" w:eastAsia="仿宋_GB2312" w:hAnsi="仿宋_GB2312" w:cs="仿宋_GB2312" w:hint="eastAsia"/>
                <w:kern w:val="0"/>
                <w:sz w:val="28"/>
                <w:szCs w:val="28"/>
                <w:u w:val="single"/>
              </w:rPr>
              <w:t xml:space="preserve">    </w:t>
            </w:r>
            <w:r w:rsidRPr="00AE4BD3">
              <w:rPr>
                <w:rFonts w:ascii="仿宋_GB2312" w:eastAsia="仿宋_GB2312" w:hAnsi="仿宋_GB2312" w:cs="仿宋_GB2312" w:hint="eastAsia"/>
                <w:kern w:val="0"/>
                <w:sz w:val="28"/>
                <w:szCs w:val="28"/>
              </w:rPr>
              <w:t>项合理缺项，合理缺项编号为：</w:t>
            </w:r>
            <w:r w:rsidRPr="00AE4BD3">
              <w:rPr>
                <w:rFonts w:ascii="仿宋_GB2312" w:eastAsia="仿宋_GB2312" w:hAnsi="仿宋_GB2312" w:cs="仿宋_GB2312" w:hint="eastAsia"/>
                <w:kern w:val="0"/>
                <w:sz w:val="28"/>
                <w:szCs w:val="28"/>
                <w:u w:val="single"/>
              </w:rPr>
              <w:t xml:space="preserve">                               </w:t>
            </w:r>
          </w:p>
        </w:tc>
      </w:tr>
      <w:tr w:rsidR="00215D40" w:rsidTr="00AE4BD3">
        <w:trPr>
          <w:trHeight w:val="2681"/>
          <w:jc w:val="center"/>
        </w:trPr>
        <w:tc>
          <w:tcPr>
            <w:tcW w:w="969" w:type="dxa"/>
            <w:vMerge/>
            <w:vAlign w:val="center"/>
          </w:tcPr>
          <w:p w:rsidR="00215D40" w:rsidRDefault="00215D40" w:rsidP="008E3A2D">
            <w:pPr>
              <w:spacing w:line="580" w:lineRule="atLeast"/>
              <w:jc w:val="center"/>
            </w:pPr>
          </w:p>
        </w:tc>
        <w:tc>
          <w:tcPr>
            <w:tcW w:w="11225" w:type="dxa"/>
            <w:vAlign w:val="center"/>
          </w:tcPr>
          <w:p w:rsidR="00215D40" w:rsidRPr="00AE4BD3" w:rsidRDefault="00AE4BD3" w:rsidP="00AE4BD3">
            <w:pPr>
              <w:widowControl/>
              <w:adjustRightInd w:val="0"/>
              <w:snapToGrid w:val="0"/>
              <w:spacing w:line="560" w:lineRule="exact"/>
              <w:jc w:val="left"/>
              <w:rPr>
                <w:rFonts w:ascii="黑体" w:eastAsia="黑体" w:hAnsi="黑体" w:cs="仿宋_GB2312"/>
                <w:b/>
                <w:kern w:val="0"/>
                <w:sz w:val="28"/>
                <w:szCs w:val="28"/>
              </w:rPr>
            </w:pPr>
            <w:r>
              <w:rPr>
                <w:rFonts w:ascii="黑体" w:eastAsia="黑体" w:hAnsi="黑体" w:cs="仿宋_GB2312" w:hint="eastAsia"/>
                <w:b/>
                <w:kern w:val="0"/>
                <w:sz w:val="28"/>
                <w:szCs w:val="28"/>
              </w:rPr>
              <w:t>【</w:t>
            </w:r>
            <w:r w:rsidR="00215D40" w:rsidRPr="00AE4BD3">
              <w:rPr>
                <w:rFonts w:ascii="黑体" w:eastAsia="黑体" w:hAnsi="黑体" w:cs="仿宋_GB2312" w:hint="eastAsia"/>
                <w:b/>
                <w:kern w:val="0"/>
                <w:sz w:val="28"/>
                <w:szCs w:val="28"/>
              </w:rPr>
              <w:t>一般项</w:t>
            </w:r>
            <w:r>
              <w:rPr>
                <w:rFonts w:ascii="黑体" w:eastAsia="黑体" w:hAnsi="黑体" w:cs="仿宋_GB2312" w:hint="eastAsia"/>
                <w:b/>
                <w:kern w:val="0"/>
                <w:sz w:val="28"/>
                <w:szCs w:val="28"/>
              </w:rPr>
              <w:t>】</w:t>
            </w:r>
          </w:p>
          <w:p w:rsidR="00215D40" w:rsidRPr="00AE4BD3" w:rsidRDefault="00215D40" w:rsidP="00AE4BD3">
            <w:pPr>
              <w:widowControl/>
              <w:adjustRightInd w:val="0"/>
              <w:snapToGrid w:val="0"/>
              <w:spacing w:line="560" w:lineRule="exact"/>
              <w:jc w:val="left"/>
              <w:rPr>
                <w:rFonts w:ascii="仿宋_GB2312" w:eastAsia="仿宋_GB2312" w:hAnsi="仿宋_GB2312" w:cs="仿宋_GB2312"/>
                <w:kern w:val="0"/>
                <w:sz w:val="28"/>
                <w:szCs w:val="28"/>
                <w:u w:val="single"/>
              </w:rPr>
            </w:pPr>
            <w:r w:rsidRPr="00AE4BD3">
              <w:rPr>
                <w:rFonts w:ascii="仿宋_GB2312" w:eastAsia="仿宋_GB2312" w:hAnsi="仿宋_GB2312" w:cs="仿宋_GB2312" w:hint="eastAsia"/>
                <w:kern w:val="0"/>
                <w:sz w:val="28"/>
                <w:szCs w:val="28"/>
                <w:u w:val="single"/>
              </w:rPr>
              <w:t xml:space="preserve">    </w:t>
            </w:r>
            <w:r w:rsidRPr="00AE4BD3">
              <w:rPr>
                <w:rFonts w:ascii="仿宋_GB2312" w:eastAsia="仿宋_GB2312" w:hAnsi="仿宋_GB2312" w:cs="仿宋_GB2312" w:hint="eastAsia"/>
                <w:kern w:val="0"/>
                <w:sz w:val="28"/>
                <w:szCs w:val="28"/>
              </w:rPr>
              <w:t>项符合；</w:t>
            </w:r>
          </w:p>
          <w:p w:rsidR="00215D40" w:rsidRPr="00AE4BD3" w:rsidRDefault="00215D40" w:rsidP="00AE4BD3">
            <w:pPr>
              <w:widowControl/>
              <w:adjustRightInd w:val="0"/>
              <w:snapToGrid w:val="0"/>
              <w:spacing w:line="560" w:lineRule="exact"/>
              <w:jc w:val="left"/>
              <w:rPr>
                <w:rFonts w:ascii="仿宋_GB2312" w:eastAsia="仿宋_GB2312" w:hAnsi="仿宋_GB2312" w:cs="仿宋_GB2312"/>
                <w:kern w:val="0"/>
                <w:sz w:val="28"/>
                <w:szCs w:val="28"/>
                <w:u w:val="single"/>
              </w:rPr>
            </w:pPr>
            <w:r w:rsidRPr="00AE4BD3">
              <w:rPr>
                <w:rFonts w:ascii="仿宋_GB2312" w:eastAsia="仿宋_GB2312" w:hAnsi="仿宋_GB2312" w:cs="仿宋_GB2312" w:hint="eastAsia"/>
                <w:kern w:val="0"/>
                <w:sz w:val="28"/>
                <w:szCs w:val="28"/>
                <w:u w:val="single"/>
              </w:rPr>
              <w:t xml:space="preserve">    </w:t>
            </w:r>
            <w:r w:rsidRPr="00AE4BD3">
              <w:rPr>
                <w:rFonts w:ascii="仿宋_GB2312" w:eastAsia="仿宋_GB2312" w:hAnsi="仿宋_GB2312" w:cs="仿宋_GB2312" w:hint="eastAsia"/>
                <w:kern w:val="0"/>
                <w:sz w:val="28"/>
                <w:szCs w:val="28"/>
              </w:rPr>
              <w:t>项不符合，不符合项编号为：</w:t>
            </w:r>
            <w:r w:rsidRPr="00AE4BD3">
              <w:rPr>
                <w:rFonts w:ascii="仿宋_GB2312" w:eastAsia="仿宋_GB2312" w:hAnsi="仿宋_GB2312" w:cs="仿宋_GB2312" w:hint="eastAsia"/>
                <w:kern w:val="0"/>
                <w:sz w:val="28"/>
                <w:szCs w:val="28"/>
                <w:u w:val="single"/>
              </w:rPr>
              <w:t xml:space="preserve">                               </w:t>
            </w:r>
          </w:p>
          <w:p w:rsidR="00215D40" w:rsidRPr="00AE4BD3" w:rsidRDefault="00215D40" w:rsidP="00AE4BD3">
            <w:pPr>
              <w:widowControl/>
              <w:adjustRightInd w:val="0"/>
              <w:snapToGrid w:val="0"/>
              <w:spacing w:line="560" w:lineRule="exact"/>
              <w:jc w:val="left"/>
              <w:rPr>
                <w:rFonts w:ascii="仿宋_GB2312" w:eastAsia="仿宋_GB2312" w:hAnsi="仿宋_GB2312" w:cs="仿宋_GB2312"/>
                <w:color w:val="000000"/>
                <w:kern w:val="0"/>
                <w:sz w:val="28"/>
                <w:szCs w:val="28"/>
              </w:rPr>
            </w:pPr>
            <w:r w:rsidRPr="00AE4BD3">
              <w:rPr>
                <w:rFonts w:ascii="仿宋_GB2312" w:eastAsia="仿宋_GB2312" w:hAnsi="仿宋_GB2312" w:cs="仿宋_GB2312" w:hint="eastAsia"/>
                <w:kern w:val="0"/>
                <w:sz w:val="28"/>
                <w:szCs w:val="28"/>
                <w:u w:val="single"/>
              </w:rPr>
              <w:t xml:space="preserve">    </w:t>
            </w:r>
            <w:r w:rsidRPr="00AE4BD3">
              <w:rPr>
                <w:rFonts w:ascii="仿宋_GB2312" w:eastAsia="仿宋_GB2312" w:hAnsi="仿宋_GB2312" w:cs="仿宋_GB2312" w:hint="eastAsia"/>
                <w:kern w:val="0"/>
                <w:sz w:val="28"/>
                <w:szCs w:val="28"/>
              </w:rPr>
              <w:t>项合理缺项，合理缺项编号为：</w:t>
            </w:r>
            <w:r w:rsidRPr="00AE4BD3">
              <w:rPr>
                <w:rFonts w:ascii="仿宋_GB2312" w:eastAsia="仿宋_GB2312" w:hAnsi="仿宋_GB2312" w:cs="仿宋_GB2312" w:hint="eastAsia"/>
                <w:kern w:val="0"/>
                <w:sz w:val="28"/>
                <w:szCs w:val="28"/>
                <w:u w:val="single"/>
              </w:rPr>
              <w:t xml:space="preserve">                               </w:t>
            </w:r>
          </w:p>
        </w:tc>
      </w:tr>
      <w:tr w:rsidR="00215D40" w:rsidTr="00AE4BD3">
        <w:trPr>
          <w:trHeight w:val="1401"/>
          <w:jc w:val="center"/>
        </w:trPr>
        <w:tc>
          <w:tcPr>
            <w:tcW w:w="969" w:type="dxa"/>
            <w:vAlign w:val="center"/>
          </w:tcPr>
          <w:p w:rsidR="00215D40" w:rsidRDefault="00215D40" w:rsidP="008E3A2D">
            <w:pPr>
              <w:spacing w:line="580" w:lineRule="atLeast"/>
              <w:jc w:val="center"/>
              <w:rPr>
                <w:rFonts w:ascii="黑体" w:eastAsia="黑体" w:hAnsi="黑体"/>
                <w:sz w:val="30"/>
                <w:szCs w:val="30"/>
              </w:rPr>
            </w:pPr>
            <w:r>
              <w:rPr>
                <w:rFonts w:ascii="黑体" w:eastAsia="黑体" w:hAnsi="黑体" w:hint="eastAsia"/>
                <w:sz w:val="30"/>
                <w:szCs w:val="30"/>
              </w:rPr>
              <w:t>核查</w:t>
            </w:r>
          </w:p>
          <w:p w:rsidR="00215D40" w:rsidRDefault="00215D40" w:rsidP="008E3A2D">
            <w:pPr>
              <w:pStyle w:val="1"/>
              <w:ind w:firstLineChars="0" w:firstLine="0"/>
              <w:jc w:val="center"/>
            </w:pPr>
            <w:r>
              <w:rPr>
                <w:rFonts w:ascii="黑体" w:eastAsia="黑体" w:hAnsi="黑体" w:hint="eastAsia"/>
              </w:rPr>
              <w:t>结论</w:t>
            </w:r>
          </w:p>
        </w:tc>
        <w:tc>
          <w:tcPr>
            <w:tcW w:w="11225" w:type="dxa"/>
            <w:vAlign w:val="center"/>
          </w:tcPr>
          <w:p w:rsidR="00215D40" w:rsidRPr="00AE4BD3" w:rsidRDefault="00215D40" w:rsidP="00AE4BD3">
            <w:pPr>
              <w:pStyle w:val="a6"/>
              <w:widowControl/>
              <w:numPr>
                <w:ilvl w:val="0"/>
                <w:numId w:val="1"/>
              </w:numPr>
              <w:adjustRightInd w:val="0"/>
              <w:snapToGrid w:val="0"/>
              <w:ind w:firstLineChars="0"/>
              <w:jc w:val="center"/>
              <w:rPr>
                <w:rFonts w:ascii="仿宋_GB2312" w:eastAsia="仿宋_GB2312" w:hAnsi="宋体" w:cs="仿宋_GB2312"/>
                <w:color w:val="000000"/>
                <w:kern w:val="0"/>
              </w:rPr>
            </w:pPr>
            <w:bookmarkStart w:id="0" w:name="_GoBack"/>
            <w:bookmarkEnd w:id="0"/>
            <w:r w:rsidRPr="00AE4BD3">
              <w:rPr>
                <w:rFonts w:ascii="宋体" w:hAnsi="宋体" w:hint="eastAsia"/>
                <w:sz w:val="28"/>
                <w:szCs w:val="28"/>
              </w:rPr>
              <w:t>符合规定        　□</w:t>
            </w:r>
            <w:r w:rsidR="00AE4BD3">
              <w:rPr>
                <w:rFonts w:ascii="宋体" w:hAnsi="宋体" w:hint="eastAsia"/>
                <w:sz w:val="28"/>
                <w:szCs w:val="28"/>
              </w:rPr>
              <w:t xml:space="preserve"> </w:t>
            </w:r>
            <w:r w:rsidRPr="00AE4BD3">
              <w:rPr>
                <w:rFonts w:ascii="宋体" w:hAnsi="宋体" w:hint="eastAsia"/>
                <w:sz w:val="28"/>
                <w:szCs w:val="28"/>
              </w:rPr>
              <w:t>不符合规定</w:t>
            </w:r>
          </w:p>
        </w:tc>
      </w:tr>
      <w:tr w:rsidR="00215D40" w:rsidTr="00AE4BD3">
        <w:trPr>
          <w:trHeight w:val="2811"/>
          <w:jc w:val="center"/>
        </w:trPr>
        <w:tc>
          <w:tcPr>
            <w:tcW w:w="12194" w:type="dxa"/>
            <w:gridSpan w:val="2"/>
          </w:tcPr>
          <w:p w:rsidR="00AE4BD3" w:rsidRDefault="00AE4BD3" w:rsidP="008E3A2D">
            <w:pPr>
              <w:jc w:val="left"/>
              <w:rPr>
                <w:rFonts w:ascii="仿宋" w:eastAsia="仿宋" w:hAnsi="仿宋"/>
                <w:b/>
                <w:sz w:val="32"/>
                <w:szCs w:val="32"/>
              </w:rPr>
            </w:pPr>
          </w:p>
          <w:p w:rsidR="00215D40" w:rsidRDefault="00215D40" w:rsidP="008E3A2D">
            <w:pPr>
              <w:jc w:val="left"/>
              <w:rPr>
                <w:rFonts w:ascii="仿宋" w:eastAsia="仿宋" w:hAnsi="仿宋"/>
                <w:b/>
                <w:sz w:val="32"/>
                <w:szCs w:val="32"/>
              </w:rPr>
            </w:pPr>
            <w:r>
              <w:rPr>
                <w:rFonts w:ascii="仿宋" w:eastAsia="仿宋" w:hAnsi="仿宋" w:hint="eastAsia"/>
                <w:b/>
                <w:sz w:val="32"/>
                <w:szCs w:val="32"/>
              </w:rPr>
              <w:t>核查</w:t>
            </w:r>
            <w:r>
              <w:rPr>
                <w:rFonts w:ascii="仿宋" w:eastAsia="仿宋" w:hAnsi="仿宋"/>
                <w:b/>
                <w:sz w:val="32"/>
                <w:szCs w:val="32"/>
              </w:rPr>
              <w:t>人员</w:t>
            </w:r>
            <w:r>
              <w:rPr>
                <w:rFonts w:ascii="仿宋" w:eastAsia="仿宋" w:hAnsi="仿宋" w:hint="eastAsia"/>
                <w:b/>
                <w:sz w:val="32"/>
                <w:szCs w:val="32"/>
              </w:rPr>
              <w:t>签字</w:t>
            </w:r>
            <w:r>
              <w:rPr>
                <w:rFonts w:ascii="仿宋" w:eastAsia="仿宋" w:hAnsi="仿宋"/>
                <w:b/>
                <w:sz w:val="32"/>
                <w:szCs w:val="32"/>
              </w:rPr>
              <w:t xml:space="preserve">： </w:t>
            </w:r>
          </w:p>
          <w:p w:rsidR="00AE4BD3" w:rsidRDefault="00AE4BD3" w:rsidP="00AE4BD3">
            <w:pPr>
              <w:pStyle w:val="1"/>
              <w:ind w:firstLine="600"/>
            </w:pPr>
          </w:p>
          <w:p w:rsidR="00AE4BD3" w:rsidRDefault="00AE4BD3" w:rsidP="00AE4BD3">
            <w:pPr>
              <w:pStyle w:val="1"/>
              <w:ind w:firstLine="600"/>
            </w:pPr>
          </w:p>
          <w:p w:rsidR="00AE4BD3" w:rsidRPr="00AE4BD3" w:rsidRDefault="00AE4BD3" w:rsidP="00AE4BD3">
            <w:pPr>
              <w:pStyle w:val="1"/>
              <w:ind w:firstLine="600"/>
            </w:pPr>
          </w:p>
          <w:p w:rsidR="00215D40" w:rsidRDefault="00215D40" w:rsidP="008E3A2D">
            <w:pPr>
              <w:widowControl/>
              <w:adjustRightInd w:val="0"/>
              <w:snapToGrid w:val="0"/>
              <w:jc w:val="right"/>
              <w:rPr>
                <w:rFonts w:ascii="仿宋_GB2312" w:eastAsia="仿宋_GB2312" w:hAnsi="宋体" w:cs="仿宋_GB2312"/>
                <w:color w:val="000000"/>
                <w:kern w:val="0"/>
              </w:rPr>
            </w:pPr>
            <w:r>
              <w:rPr>
                <w:rFonts w:ascii="仿宋" w:eastAsia="仿宋" w:hAnsi="仿宋" w:hint="eastAsia"/>
                <w:b/>
                <w:sz w:val="32"/>
                <w:szCs w:val="32"/>
              </w:rPr>
              <w:t>年    月    日</w:t>
            </w:r>
          </w:p>
        </w:tc>
      </w:tr>
      <w:tr w:rsidR="00215D40" w:rsidTr="00AE4BD3">
        <w:trPr>
          <w:trHeight w:val="2823"/>
          <w:jc w:val="center"/>
        </w:trPr>
        <w:tc>
          <w:tcPr>
            <w:tcW w:w="12194" w:type="dxa"/>
            <w:gridSpan w:val="2"/>
            <w:vAlign w:val="center"/>
          </w:tcPr>
          <w:p w:rsidR="00AE4BD3" w:rsidRDefault="00215D40" w:rsidP="00AE4BD3">
            <w:pPr>
              <w:widowControl/>
              <w:adjustRightInd w:val="0"/>
              <w:snapToGrid w:val="0"/>
              <w:jc w:val="left"/>
              <w:rPr>
                <w:rFonts w:ascii="仿宋" w:eastAsia="仿宋" w:hAnsi="仿宋"/>
                <w:b/>
                <w:sz w:val="32"/>
                <w:szCs w:val="32"/>
              </w:rPr>
            </w:pPr>
            <w:r>
              <w:rPr>
                <w:rFonts w:ascii="仿宋" w:eastAsia="仿宋" w:hAnsi="仿宋" w:hint="eastAsia"/>
                <w:b/>
                <w:sz w:val="32"/>
                <w:szCs w:val="32"/>
              </w:rPr>
              <w:t>当事人</w:t>
            </w:r>
            <w:r>
              <w:rPr>
                <w:rFonts w:ascii="仿宋" w:eastAsia="仿宋" w:hAnsi="仿宋"/>
                <w:b/>
                <w:sz w:val="32"/>
                <w:szCs w:val="32"/>
              </w:rPr>
              <w:t>签字</w:t>
            </w:r>
            <w:r>
              <w:rPr>
                <w:rFonts w:ascii="仿宋" w:eastAsia="仿宋" w:hAnsi="仿宋" w:hint="eastAsia"/>
                <w:b/>
                <w:sz w:val="32"/>
                <w:szCs w:val="32"/>
              </w:rPr>
              <w:t xml:space="preserve">： </w:t>
            </w:r>
          </w:p>
          <w:p w:rsidR="00AE4BD3" w:rsidRPr="00AE4BD3" w:rsidRDefault="00AE4BD3" w:rsidP="00AE4BD3">
            <w:pPr>
              <w:pStyle w:val="1"/>
              <w:ind w:firstLine="600"/>
            </w:pPr>
          </w:p>
          <w:p w:rsidR="00AE4BD3" w:rsidRDefault="00AE4BD3" w:rsidP="00AE4BD3">
            <w:pPr>
              <w:widowControl/>
              <w:adjustRightInd w:val="0"/>
              <w:snapToGrid w:val="0"/>
              <w:jc w:val="left"/>
              <w:rPr>
                <w:rFonts w:ascii="仿宋" w:eastAsia="仿宋" w:hAnsi="仿宋"/>
                <w:b/>
                <w:sz w:val="32"/>
                <w:szCs w:val="32"/>
              </w:rPr>
            </w:pPr>
          </w:p>
          <w:p w:rsidR="00215D40" w:rsidRDefault="00215D40" w:rsidP="00AE4BD3">
            <w:pPr>
              <w:widowControl/>
              <w:adjustRightInd w:val="0"/>
              <w:snapToGrid w:val="0"/>
              <w:jc w:val="right"/>
              <w:rPr>
                <w:rFonts w:ascii="仿宋_GB2312" w:eastAsia="仿宋_GB2312" w:hAnsi="宋体" w:cs="仿宋_GB2312"/>
                <w:color w:val="000000"/>
                <w:kern w:val="0"/>
              </w:rPr>
            </w:pPr>
            <w:r>
              <w:rPr>
                <w:rFonts w:ascii="仿宋" w:eastAsia="仿宋" w:hAnsi="仿宋" w:hint="eastAsia"/>
                <w:b/>
                <w:sz w:val="32"/>
                <w:szCs w:val="32"/>
              </w:rPr>
              <w:t xml:space="preserve">                               年    月    日</w:t>
            </w:r>
          </w:p>
        </w:tc>
      </w:tr>
    </w:tbl>
    <w:p w:rsidR="00F41A25" w:rsidRDefault="00F41A25"/>
    <w:sectPr w:rsidR="00F41A25" w:rsidSect="00AF49F4">
      <w:pgSz w:w="11906" w:h="16838" w:code="9"/>
      <w:pgMar w:top="1418" w:right="1418" w:bottom="1418" w:left="1418" w:header="1418" w:footer="1418"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504" w:rsidRDefault="00E25504" w:rsidP="00215D40">
      <w:r>
        <w:separator/>
      </w:r>
    </w:p>
  </w:endnote>
  <w:endnote w:type="continuationSeparator" w:id="0">
    <w:p w:rsidR="00E25504" w:rsidRDefault="00E25504" w:rsidP="00215D4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B4" w:rsidRDefault="00D67DB4">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92896"/>
      <w:docPartObj>
        <w:docPartGallery w:val="Page Numbers (Bottom of Page)"/>
        <w:docPartUnique/>
      </w:docPartObj>
    </w:sdtPr>
    <w:sdtEndPr>
      <w:rPr>
        <w:sz w:val="24"/>
        <w:szCs w:val="24"/>
      </w:rPr>
    </w:sdtEndPr>
    <w:sdtContent>
      <w:p w:rsidR="00D67DB4" w:rsidRPr="00215D40" w:rsidRDefault="00D67DB4">
        <w:pPr>
          <w:pStyle w:val="a5"/>
          <w:jc w:val="center"/>
          <w:rPr>
            <w:sz w:val="24"/>
            <w:szCs w:val="24"/>
          </w:rPr>
        </w:pPr>
        <w:r w:rsidRPr="00215D40">
          <w:rPr>
            <w:sz w:val="24"/>
            <w:szCs w:val="24"/>
          </w:rPr>
          <w:fldChar w:fldCharType="begin"/>
        </w:r>
        <w:r w:rsidRPr="00215D40">
          <w:rPr>
            <w:sz w:val="24"/>
            <w:szCs w:val="24"/>
          </w:rPr>
          <w:instrText xml:space="preserve"> PAGE   \* MERGEFORMAT </w:instrText>
        </w:r>
        <w:r w:rsidRPr="00215D40">
          <w:rPr>
            <w:sz w:val="24"/>
            <w:szCs w:val="24"/>
          </w:rPr>
          <w:fldChar w:fldCharType="separate"/>
        </w:r>
        <w:r w:rsidR="00CB6EA7" w:rsidRPr="00CB6EA7">
          <w:rPr>
            <w:noProof/>
            <w:sz w:val="24"/>
            <w:szCs w:val="24"/>
            <w:lang w:val="zh-CN"/>
          </w:rPr>
          <w:t>9</w:t>
        </w:r>
        <w:r w:rsidRPr="00215D40">
          <w:rPr>
            <w:sz w:val="24"/>
            <w:szCs w:val="24"/>
          </w:rPr>
          <w:fldChar w:fldCharType="end"/>
        </w:r>
      </w:p>
    </w:sdtContent>
  </w:sdt>
  <w:p w:rsidR="00D67DB4" w:rsidRDefault="00D67DB4">
    <w:pPr>
      <w:ind w:right="360" w:firstLine="360"/>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504" w:rsidRDefault="00E25504" w:rsidP="00215D40">
      <w:r>
        <w:separator/>
      </w:r>
    </w:p>
  </w:footnote>
  <w:footnote w:type="continuationSeparator" w:id="0">
    <w:p w:rsidR="00E25504" w:rsidRDefault="00E25504" w:rsidP="00215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B4" w:rsidRDefault="00D67DB4">
    <w:r>
      <w:pict>
        <v:rect id="_x0000_s1026" style="position:absolute;left:0;text-align:left;margin-left:22.7pt;margin-top:79.4pt;width:60pt;height:70.5pt;z-index:251658240;mso-position-horizontal-relative:page;mso-position-vertical-relative:page" o:gfxdata="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1AQJy2QAAAAoBAAAPAAAAAAAAAAEAIAAAACIAAABkcnMvZG93bnJldi54bWxQ&#10;SwECFAAUAAAACACHTuJAj4jE0b0BAAB1AwAADgAAAAAAAAABACAAAAAoAQAAZHJzL2Uyb0RvYy54&#10;bWxQSwUGAAAAAAYABgBZAQAAVwUAAAAA&#10;" o:allowincell="f" stroked="f">
          <v:textbox style="layout-flow:vertical">
            <w:txbxContent>
              <w:p w:rsidR="00D67DB4" w:rsidRDefault="00D67DB4">
                <w:pPr>
                  <w:jc w:val="center"/>
                  <w:rPr>
                    <w:rFonts w:ascii="宋体" w:hAnsi="宋体"/>
                    <w:sz w:val="28"/>
                    <w:szCs w:val="28"/>
                  </w:rPr>
                </w:pPr>
                <w:r>
                  <w:rPr>
                    <w:rStyle w:val="a3"/>
                    <w:rFonts w:ascii="宋体" w:hAnsi="宋体" w:hint="eastAsia"/>
                    <w:kern w:val="0"/>
                    <w:sz w:val="28"/>
                    <w:szCs w:val="28"/>
                  </w:rPr>
                  <w:t>—</w:t>
                </w:r>
                <w:r>
                  <w:rPr>
                    <w:rStyle w:val="a3"/>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34</w:t>
                </w:r>
                <w:r>
                  <w:rPr>
                    <w:rFonts w:ascii="宋体" w:hAnsi="宋体"/>
                    <w:sz w:val="28"/>
                    <w:szCs w:val="28"/>
                  </w:rPr>
                  <w:fldChar w:fldCharType="end"/>
                </w:r>
                <w:r>
                  <w:rPr>
                    <w:rFonts w:ascii="宋体" w:hAnsi="宋体" w:hint="eastAsia"/>
                    <w:sz w:val="28"/>
                    <w:szCs w:val="28"/>
                  </w:rPr>
                  <w:t xml:space="preserve"> </w:t>
                </w:r>
                <w:r>
                  <w:rPr>
                    <w:rStyle w:val="a3"/>
                    <w:rFonts w:ascii="宋体" w:hAnsi="宋体" w:hint="eastAsia"/>
                    <w:kern w:val="0"/>
                    <w:sz w:val="28"/>
                    <w:szCs w:val="28"/>
                  </w:rPr>
                  <w:t>—</w:t>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F1121"/>
    <w:multiLevelType w:val="hybridMultilevel"/>
    <w:tmpl w:val="DC008884"/>
    <w:lvl w:ilvl="0" w:tplc="404C2DA0">
      <w:start w:val="14"/>
      <w:numFmt w:val="bullet"/>
      <w:lvlText w:val="□"/>
      <w:lvlJc w:val="left"/>
      <w:pPr>
        <w:ind w:left="360" w:hanging="360"/>
      </w:pPr>
      <w:rPr>
        <w:rFonts w:ascii="宋体" w:eastAsia="宋体" w:hAnsi="宋体" w:cs="Times New Roman" w:hint="eastAsia"/>
        <w:color w:val="auto"/>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D40"/>
    <w:rsid w:val="000309B9"/>
    <w:rsid w:val="00121798"/>
    <w:rsid w:val="00215D40"/>
    <w:rsid w:val="002B283C"/>
    <w:rsid w:val="003422C5"/>
    <w:rsid w:val="004C66D6"/>
    <w:rsid w:val="00506275"/>
    <w:rsid w:val="006B1635"/>
    <w:rsid w:val="008E3A2D"/>
    <w:rsid w:val="00920AD6"/>
    <w:rsid w:val="00961FC5"/>
    <w:rsid w:val="00AE3C32"/>
    <w:rsid w:val="00AE4BD3"/>
    <w:rsid w:val="00AF49F4"/>
    <w:rsid w:val="00BE3179"/>
    <w:rsid w:val="00C5526B"/>
    <w:rsid w:val="00CB6EA7"/>
    <w:rsid w:val="00D67DB4"/>
    <w:rsid w:val="00E25504"/>
    <w:rsid w:val="00F41A25"/>
    <w:rsid w:val="00FF71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15D4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sid w:val="00215D40"/>
    <w:pPr>
      <w:ind w:firstLineChars="200" w:firstLine="602"/>
    </w:pPr>
    <w:rPr>
      <w:rFonts w:ascii="仿宋" w:eastAsia="仿宋" w:hAnsi="仿宋"/>
      <w:sz w:val="30"/>
      <w:szCs w:val="30"/>
    </w:rPr>
  </w:style>
  <w:style w:type="character" w:styleId="a3">
    <w:name w:val="page number"/>
    <w:uiPriority w:val="99"/>
    <w:qFormat/>
    <w:rsid w:val="00215D40"/>
  </w:style>
  <w:style w:type="paragraph" w:styleId="a4">
    <w:name w:val="header"/>
    <w:basedOn w:val="a"/>
    <w:link w:val="Char"/>
    <w:uiPriority w:val="99"/>
    <w:semiHidden/>
    <w:unhideWhenUsed/>
    <w:rsid w:val="00215D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15D40"/>
    <w:rPr>
      <w:rFonts w:ascii="Times New Roman" w:eastAsia="宋体" w:hAnsi="Times New Roman" w:cs="Times New Roman"/>
      <w:sz w:val="18"/>
      <w:szCs w:val="18"/>
    </w:rPr>
  </w:style>
  <w:style w:type="paragraph" w:styleId="a5">
    <w:name w:val="footer"/>
    <w:basedOn w:val="a"/>
    <w:link w:val="Char0"/>
    <w:uiPriority w:val="99"/>
    <w:unhideWhenUsed/>
    <w:rsid w:val="00215D40"/>
    <w:pPr>
      <w:tabs>
        <w:tab w:val="center" w:pos="4153"/>
        <w:tab w:val="right" w:pos="8306"/>
      </w:tabs>
      <w:snapToGrid w:val="0"/>
      <w:jc w:val="left"/>
    </w:pPr>
    <w:rPr>
      <w:sz w:val="18"/>
      <w:szCs w:val="18"/>
    </w:rPr>
  </w:style>
  <w:style w:type="character" w:customStyle="1" w:styleId="Char0">
    <w:name w:val="页脚 Char"/>
    <w:basedOn w:val="a0"/>
    <w:link w:val="a5"/>
    <w:uiPriority w:val="99"/>
    <w:rsid w:val="00215D40"/>
    <w:rPr>
      <w:rFonts w:ascii="Times New Roman" w:eastAsia="宋体" w:hAnsi="Times New Roman" w:cs="Times New Roman"/>
      <w:sz w:val="18"/>
      <w:szCs w:val="18"/>
    </w:rPr>
  </w:style>
  <w:style w:type="paragraph" w:styleId="a6">
    <w:name w:val="List Paragraph"/>
    <w:basedOn w:val="a"/>
    <w:uiPriority w:val="34"/>
    <w:qFormat/>
    <w:rsid w:val="00AE4BD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2023-12-06T09:59:00Z</dcterms:created>
  <dcterms:modified xsi:type="dcterms:W3CDTF">2023-12-08T05:18:00Z</dcterms:modified>
</cp:coreProperties>
</file>