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rPr>
          <w:rFonts w:ascii="黑体" w:hAnsi="黑体" w:eastAsia="黑体"/>
          <w:bCs/>
          <w:kern w:val="0"/>
          <w:sz w:val="32"/>
          <w:szCs w:val="44"/>
        </w:rPr>
      </w:pPr>
      <w:r>
        <w:rPr>
          <w:rFonts w:hint="eastAsia" w:ascii="黑体" w:hAnsi="黑体" w:eastAsia="黑体"/>
          <w:bCs/>
          <w:kern w:val="0"/>
          <w:sz w:val="32"/>
          <w:szCs w:val="44"/>
        </w:rPr>
        <w:t>附件1-</w:t>
      </w:r>
      <w:r>
        <w:rPr>
          <w:rFonts w:ascii="黑体" w:hAnsi="黑体" w:eastAsia="黑体"/>
          <w:bCs/>
          <w:kern w:val="0"/>
          <w:sz w:val="32"/>
          <w:szCs w:val="44"/>
        </w:rPr>
        <w:t>5</w:t>
      </w:r>
    </w:p>
    <w:p>
      <w:pPr>
        <w:pStyle w:val="2"/>
        <w:ind w:firstLine="600"/>
      </w:pPr>
    </w:p>
    <w:p>
      <w:pPr>
        <w:adjustRightInd w:val="0"/>
        <w:snapToGrid w:val="0"/>
        <w:jc w:val="center"/>
        <w:rPr>
          <w:rFonts w:ascii="方正小标宋简体" w:hAnsi="宋体" w:eastAsia="方正小标宋简体" w:cs="仿宋_GB2312"/>
          <w:bCs/>
          <w:color w:val="000000"/>
          <w:kern w:val="0"/>
          <w:sz w:val="44"/>
          <w:szCs w:val="44"/>
        </w:rPr>
      </w:pPr>
      <w:r>
        <w:rPr>
          <w:rFonts w:hint="eastAsia" w:ascii="方正小标宋简体" w:hAnsi="宋体" w:eastAsia="方正小标宋简体" w:cs="仿宋_GB2312"/>
          <w:bCs/>
          <w:color w:val="000000"/>
          <w:kern w:val="0"/>
          <w:sz w:val="44"/>
          <w:szCs w:val="44"/>
        </w:rPr>
        <w:t>食品经营许可现场核查表</w:t>
      </w:r>
    </w:p>
    <w:p>
      <w:pPr>
        <w:adjustRightInd w:val="0"/>
        <w:snapToGrid w:val="0"/>
        <w:jc w:val="center"/>
        <w:rPr>
          <w:rFonts w:ascii="方正小标宋简体" w:hAnsi="宋体" w:eastAsia="方正小标宋简体" w:cs="仿宋_GB2312"/>
          <w:bCs/>
          <w:color w:val="000000"/>
          <w:kern w:val="0"/>
          <w:sz w:val="44"/>
          <w:szCs w:val="44"/>
        </w:rPr>
      </w:pPr>
      <w:r>
        <w:rPr>
          <w:rFonts w:hint="eastAsia" w:ascii="方正小标宋简体" w:hAnsi="宋体" w:eastAsia="方正小标宋简体" w:cs="仿宋_GB2312"/>
          <w:bCs/>
          <w:color w:val="000000"/>
          <w:kern w:val="0"/>
          <w:sz w:val="44"/>
          <w:szCs w:val="44"/>
        </w:rPr>
        <w:t>（适用于简单制售项目要求）</w:t>
      </w: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单位名称：</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地    址：</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color w:val="000000"/>
          <w:kern w:val="0"/>
          <w:sz w:val="36"/>
          <w:szCs w:val="36"/>
          <w:u w:val="single"/>
        </w:rPr>
        <w:sectPr>
          <w:headerReference r:id="rId3" w:type="default"/>
          <w:headerReference r:id="rId4" w:type="even"/>
          <w:footerReference r:id="rId5" w:type="even"/>
          <w:pgSz w:w="16839" w:h="11907" w:orient="landscape"/>
          <w:pgMar w:top="1588" w:right="2098" w:bottom="1474" w:left="1985" w:header="720" w:footer="720" w:gutter="0"/>
          <w:pgBorders>
            <w:top w:val="none" w:sz="0" w:space="0"/>
            <w:left w:val="none" w:sz="0" w:space="0"/>
            <w:bottom w:val="none" w:sz="0" w:space="0"/>
            <w:right w:val="none" w:sz="0" w:space="0"/>
          </w:pgBorders>
          <w:cols w:space="720" w:num="1"/>
          <w:docGrid w:linePitch="286" w:charSpace="0"/>
        </w:sectPr>
      </w:pPr>
      <w:r>
        <w:rPr>
          <w:rFonts w:hint="eastAsia" w:ascii="仿宋_GB2312" w:hAnsi="宋体" w:eastAsia="仿宋_GB2312" w:cs="仿宋_GB2312"/>
          <w:b/>
          <w:bCs/>
          <w:kern w:val="0"/>
          <w:sz w:val="36"/>
          <w:szCs w:val="36"/>
        </w:rPr>
        <w:t>核查日期：</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p>
    <w:tbl>
      <w:tblPr>
        <w:tblStyle w:val="6"/>
        <w:tblpPr w:leftFromText="180" w:rightFromText="180" w:vertAnchor="text" w:horzAnchor="page" w:tblpX="2128" w:tblpY="-82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7360"/>
        <w:gridCol w:w="781"/>
        <w:gridCol w:w="864"/>
        <w:gridCol w:w="763"/>
        <w:gridCol w:w="96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blHeader/>
          <w:jc w:val="center"/>
        </w:trPr>
        <w:tc>
          <w:tcPr>
            <w:tcW w:w="336" w:type="pct"/>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c>
          <w:tcPr>
            <w:tcW w:w="2837" w:type="pct"/>
            <w:tcBorders>
              <w:top w:val="nil"/>
              <w:left w:val="nil"/>
              <w:right w:val="nil"/>
            </w:tcBorders>
            <w:vAlign w:val="center"/>
          </w:tcPr>
          <w:p>
            <w:pPr>
              <w:widowControl/>
              <w:jc w:val="center"/>
              <w:rPr>
                <w:rFonts w:hint="eastAsia" w:ascii="仿宋_GB2312" w:hAnsi="宋体" w:eastAsia="仿宋_GB2312" w:cs="仿宋_GB2312"/>
                <w:b/>
                <w:bCs/>
                <w:color w:val="000000"/>
                <w:kern w:val="0"/>
                <w:sz w:val="24"/>
                <w:szCs w:val="24"/>
              </w:rPr>
            </w:pPr>
          </w:p>
        </w:tc>
        <w:tc>
          <w:tcPr>
            <w:tcW w:w="301" w:type="pct"/>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c>
          <w:tcPr>
            <w:tcW w:w="333" w:type="pct"/>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c>
          <w:tcPr>
            <w:tcW w:w="1191" w:type="pct"/>
            <w:gridSpan w:val="3"/>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336"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核查</w:t>
            </w:r>
          </w:p>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内容</w:t>
            </w:r>
          </w:p>
        </w:tc>
        <w:tc>
          <w:tcPr>
            <w:tcW w:w="2837" w:type="pct"/>
            <w:vMerge w:val="restart"/>
            <w:vAlign w:val="center"/>
          </w:tcPr>
          <w:p>
            <w:pPr>
              <w:widowControl/>
              <w:jc w:val="center"/>
              <w:rPr>
                <w:rFonts w:ascii="仿宋_GB2312" w:hAnsi="宋体" w:eastAsia="仿宋_GB2312"/>
                <w:b/>
                <w:bCs/>
                <w:color w:val="000000"/>
                <w:kern w:val="0"/>
                <w:sz w:val="24"/>
              </w:rPr>
            </w:pPr>
            <w:r>
              <w:rPr>
                <w:rFonts w:hint="eastAsia" w:ascii="仿宋_GB2312" w:hAnsi="宋体" w:eastAsia="仿宋_GB2312" w:cs="仿宋_GB2312"/>
                <w:b/>
                <w:bCs/>
                <w:color w:val="000000"/>
                <w:kern w:val="0"/>
                <w:sz w:val="24"/>
                <w:szCs w:val="24"/>
              </w:rPr>
              <w:t>核查和评价方法</w:t>
            </w:r>
          </w:p>
        </w:tc>
        <w:tc>
          <w:tcPr>
            <w:tcW w:w="301"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编号</w:t>
            </w:r>
          </w:p>
        </w:tc>
        <w:tc>
          <w:tcPr>
            <w:tcW w:w="333"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重要性</w:t>
            </w:r>
          </w:p>
        </w:tc>
        <w:tc>
          <w:tcPr>
            <w:tcW w:w="1191" w:type="pct"/>
            <w:gridSpan w:val="3"/>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336" w:type="pct"/>
            <w:vMerge w:val="continue"/>
            <w:vAlign w:val="center"/>
          </w:tcPr>
          <w:p>
            <w:pPr>
              <w:widowControl/>
              <w:jc w:val="left"/>
              <w:rPr>
                <w:rFonts w:ascii="仿宋_GB2312" w:hAnsi="宋体" w:eastAsia="仿宋_GB2312"/>
                <w:b/>
                <w:bCs/>
                <w:color w:val="000000"/>
                <w:kern w:val="0"/>
              </w:rPr>
            </w:pPr>
          </w:p>
        </w:tc>
        <w:tc>
          <w:tcPr>
            <w:tcW w:w="2837" w:type="pct"/>
            <w:vMerge w:val="continue"/>
            <w:vAlign w:val="center"/>
          </w:tcPr>
          <w:p>
            <w:pPr>
              <w:widowControl/>
              <w:jc w:val="left"/>
              <w:rPr>
                <w:rFonts w:ascii="仿宋_GB2312" w:hAnsi="宋体" w:eastAsia="仿宋_GB2312"/>
                <w:b/>
                <w:bCs/>
                <w:color w:val="000000"/>
                <w:kern w:val="0"/>
                <w:sz w:val="24"/>
              </w:rPr>
            </w:pPr>
          </w:p>
        </w:tc>
        <w:tc>
          <w:tcPr>
            <w:tcW w:w="301" w:type="pct"/>
            <w:vMerge w:val="continue"/>
            <w:vAlign w:val="center"/>
          </w:tcPr>
          <w:p>
            <w:pPr>
              <w:widowControl/>
              <w:jc w:val="left"/>
              <w:rPr>
                <w:rFonts w:ascii="仿宋_GB2312" w:hAnsi="宋体" w:eastAsia="仿宋_GB2312"/>
                <w:b/>
                <w:bCs/>
                <w:color w:val="000000"/>
                <w:kern w:val="0"/>
              </w:rPr>
            </w:pPr>
          </w:p>
        </w:tc>
        <w:tc>
          <w:tcPr>
            <w:tcW w:w="333" w:type="pct"/>
            <w:vMerge w:val="continue"/>
            <w:vAlign w:val="center"/>
          </w:tcPr>
          <w:p>
            <w:pPr>
              <w:widowControl/>
              <w:jc w:val="left"/>
              <w:rPr>
                <w:rFonts w:ascii="仿宋_GB2312" w:hAnsi="宋体" w:eastAsia="仿宋_GB2312"/>
                <w:b/>
                <w:bCs/>
                <w:color w:val="000000"/>
                <w:kern w:val="0"/>
              </w:rPr>
            </w:pPr>
          </w:p>
        </w:tc>
        <w:tc>
          <w:tcPr>
            <w:tcW w:w="294"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符合</w:t>
            </w:r>
          </w:p>
        </w:tc>
        <w:tc>
          <w:tcPr>
            <w:tcW w:w="372"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不符合</w:t>
            </w:r>
          </w:p>
        </w:tc>
        <w:tc>
          <w:tcPr>
            <w:tcW w:w="525"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336" w:type="pc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1.</w:t>
            </w:r>
            <w:r>
              <w:rPr>
                <w:rFonts w:hint="eastAsia" w:ascii="仿宋_GB2312" w:hAnsi="宋体" w:eastAsia="仿宋_GB2312" w:cs="仿宋_GB2312"/>
                <w:color w:val="000000"/>
                <w:kern w:val="0"/>
              </w:rPr>
              <w:t>选址</w:t>
            </w: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地势干燥、有给排水条件和电力供应，不得设在易受到污染的区域。距离粪坑、污水池、暴露垃圾场（站）、旱厕等污染源</w:t>
            </w:r>
            <w:r>
              <w:rPr>
                <w:rFonts w:ascii="仿宋_GB2312" w:hAnsi="宋体" w:eastAsia="仿宋_GB2312" w:cs="仿宋_GB2312"/>
                <w:color w:val="000000"/>
                <w:kern w:val="0"/>
              </w:rPr>
              <w:t>25</w:t>
            </w:r>
            <w:r>
              <w:rPr>
                <w:rFonts w:ascii="仿宋_GB2312" w:hAnsi="宋体" w:eastAsia="仿宋_GB2312" w:cs="仿宋_GB2312"/>
                <w:color w:val="000000"/>
                <w:kern w:val="0"/>
                <w:lang w:val="en"/>
              </w:rPr>
              <w:t>m</w:t>
            </w:r>
            <w:r>
              <w:rPr>
                <w:rFonts w:hint="eastAsia" w:ascii="仿宋_GB2312" w:hAnsi="宋体" w:eastAsia="仿宋_GB2312" w:cs="仿宋_GB2312"/>
                <w:color w:val="000000"/>
                <w:kern w:val="0"/>
              </w:rPr>
              <w:t>以上</w:t>
            </w:r>
          </w:p>
        </w:tc>
        <w:tc>
          <w:tcPr>
            <w:tcW w:w="301"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36" w:type="pct"/>
            <w:vMerge w:val="restar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2.</w:t>
            </w:r>
            <w:r>
              <w:rPr>
                <w:rFonts w:hint="eastAsia" w:ascii="仿宋_GB2312" w:hAnsi="宋体" w:eastAsia="仿宋_GB2312" w:cs="仿宋_GB2312"/>
                <w:color w:val="000000"/>
                <w:kern w:val="0"/>
              </w:rPr>
              <w:t>场所设置和布局</w:t>
            </w: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设置与食品供应方式和品种相适应的切配、烹饪、餐用具清洗消毒等加工操作场所，以及食品库房、更衣区、清洁工具存放场所等，各场所均设在室内</w:t>
            </w:r>
          </w:p>
        </w:tc>
        <w:tc>
          <w:tcPr>
            <w:tcW w:w="301"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336" w:type="pct"/>
            <w:vMerge w:val="continue"/>
            <w:vAlign w:val="center"/>
          </w:tcPr>
          <w:p>
            <w:pPr>
              <w:widowControl/>
              <w:rPr>
                <w:rFonts w:ascii="仿宋_GB2312" w:hAnsi="宋体" w:eastAsia="仿宋_GB2312" w:cs="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lang w:eastAsia="zh-CN"/>
              </w:rPr>
              <w:t>餐饮服务场所内</w:t>
            </w:r>
            <w:r>
              <w:rPr>
                <w:rFonts w:hint="eastAsia" w:ascii="仿宋_GB2312" w:hAnsi="宋体" w:eastAsia="仿宋_GB2312" w:cs="仿宋_GB2312"/>
                <w:color w:val="000000"/>
                <w:kern w:val="0"/>
              </w:rPr>
              <w:t>无圈养、宰杀禽畜类动物的区域。食品处理区内不得设置办公室、卫生间</w:t>
            </w:r>
          </w:p>
        </w:tc>
        <w:tc>
          <w:tcPr>
            <w:tcW w:w="301"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lang w:eastAsia="zh-CN"/>
              </w:rPr>
              <w:t>食品处理区</w:t>
            </w:r>
            <w:r>
              <w:rPr>
                <w:rFonts w:hint="eastAsia" w:ascii="仿宋_GB2312" w:hAnsi="宋体" w:eastAsia="仿宋_GB2312" w:cs="仿宋_GB2312"/>
                <w:color w:val="000000"/>
                <w:kern w:val="0"/>
              </w:rPr>
              <w:t>按照食品处理、加工制作、成品供应的流程合理布局，防止食品在存放、加工和传递中产生交叉污染</w:t>
            </w:r>
          </w:p>
        </w:tc>
        <w:tc>
          <w:tcPr>
            <w:tcW w:w="301"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4</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themeColor="text1"/>
                <w:kern w:val="0"/>
                <w14:textFill>
                  <w14:solidFill>
                    <w14:schemeClr w14:val="tx1"/>
                  </w14:solidFill>
                </w14:textFill>
              </w:rPr>
              <w:t>用于盛放原料、半成品、成品的容器和使用的工具、用具，应有明显的区分，分开定位存放</w:t>
            </w:r>
          </w:p>
        </w:tc>
        <w:tc>
          <w:tcPr>
            <w:tcW w:w="301"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5</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设专用于拖把等清洁工具（如扫帚、拖把、抹布、刷子等）的清洗水池或设施，其位置不会污染食品及其加工制作过程。清洁工具的清洗水池应与餐用具清洗消毒水池、食品原料清洗水池明显区分</w:t>
            </w:r>
          </w:p>
        </w:tc>
        <w:tc>
          <w:tcPr>
            <w:tcW w:w="301"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6</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adjustRightInd w:val="0"/>
              <w:snapToGrid w:val="0"/>
              <w:rPr>
                <w:rFonts w:ascii="仿宋_GB2312" w:hAnsi="宋体" w:eastAsia="仿宋_GB2312" w:cs="仿宋_GB2312"/>
                <w:color w:val="000000"/>
                <w:kern w:val="0"/>
                <w:lang w:val="zh-CN"/>
              </w:rPr>
            </w:pPr>
            <w:r>
              <w:rPr>
                <w:rFonts w:hint="eastAsia" w:ascii="仿宋_GB2312" w:hAnsi="宋体" w:eastAsia="仿宋_GB2312" w:cs="仿宋_GB2312"/>
                <w:color w:val="000000"/>
                <w:kern w:val="0"/>
              </w:rPr>
              <w:t>外卖取餐区应与加工制作区分离，并标识明显</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lang w:val="en-US" w:eastAsia="zh-CN"/>
              </w:rPr>
              <w:t>7</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336" w:type="pct"/>
            <w:vMerge w:val="restart"/>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3</w:t>
            </w:r>
            <w:r>
              <w:rPr>
                <w:rFonts w:ascii="仿宋_GB2312" w:hAnsi="宋体" w:eastAsia="仿宋_GB2312" w:cs="仿宋_GB2312"/>
                <w:color w:val="000000"/>
                <w:kern w:val="0"/>
              </w:rPr>
              <w:t>.</w:t>
            </w:r>
            <w:r>
              <w:rPr>
                <w:rFonts w:hint="eastAsia" w:ascii="仿宋_GB2312" w:hAnsi="宋体" w:eastAsia="仿宋_GB2312" w:cs="仿宋_GB2312"/>
                <w:color w:val="000000"/>
                <w:kern w:val="0"/>
              </w:rPr>
              <w:t>烹饪场所</w:t>
            </w: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烹饪面积与经营规模相适应，区域相对独立</w:t>
            </w:r>
          </w:p>
        </w:tc>
        <w:tc>
          <w:tcPr>
            <w:tcW w:w="301" w:type="pct"/>
            <w:vAlign w:val="center"/>
          </w:tcPr>
          <w:p>
            <w:pPr>
              <w:widowControl/>
              <w:jc w:val="center"/>
              <w:rPr>
                <w:rFonts w:hint="eastAsia" w:ascii="仿宋_GB2312" w:hAnsi="宋体" w:eastAsia="仿宋_GB2312"/>
                <w:color w:val="000000"/>
                <w:kern w:val="0"/>
                <w:lang w:eastAsia="zh-CN"/>
              </w:rPr>
            </w:pPr>
            <w:r>
              <w:rPr>
                <w:rFonts w:hint="eastAsia" w:ascii="仿宋_GB2312" w:hAnsi="宋体" w:eastAsia="仿宋_GB2312" w:cs="仿宋_GB2312"/>
                <w:color w:val="000000"/>
                <w:kern w:val="0"/>
                <w:lang w:val="en-US" w:eastAsia="zh-CN"/>
              </w:rPr>
              <w:t>8</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kern w:val="0"/>
              </w:rPr>
            </w:pPr>
            <w:r>
              <w:rPr>
                <w:rFonts w:hint="eastAsia" w:ascii="仿宋_GB2312" w:hAnsi="宋体" w:eastAsia="仿宋_GB2312" w:cs="仿宋_GB2312"/>
                <w:kern w:val="0"/>
              </w:rPr>
              <w:t>产生水蒸汽的烹饪场所应当设置机械排风设施和调温设施</w:t>
            </w:r>
          </w:p>
        </w:tc>
        <w:tc>
          <w:tcPr>
            <w:tcW w:w="301" w:type="pct"/>
            <w:vAlign w:val="center"/>
          </w:tcPr>
          <w:p>
            <w:pPr>
              <w:widowControl/>
              <w:jc w:val="center"/>
              <w:rPr>
                <w:rFonts w:hint="eastAsia" w:ascii="仿宋_GB2312" w:hAnsi="宋体" w:eastAsia="仿宋_GB2312"/>
                <w:color w:val="000000"/>
                <w:kern w:val="0"/>
                <w:lang w:eastAsia="zh-CN"/>
              </w:rPr>
            </w:pPr>
            <w:r>
              <w:rPr>
                <w:rFonts w:hint="eastAsia" w:ascii="仿宋_GB2312" w:hAnsi="宋体" w:eastAsia="仿宋_GB2312" w:cs="仿宋_GB2312"/>
                <w:color w:val="000000"/>
                <w:kern w:val="0"/>
                <w:lang w:val="en-US" w:eastAsia="zh-CN"/>
              </w:rPr>
              <w:t>9</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36" w:type="pct"/>
            <w:vMerge w:val="restar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olor w:val="000000"/>
                <w:kern w:val="0"/>
              </w:rPr>
              <w:t>4.餐用具清洗消毒场所</w:t>
            </w:r>
          </w:p>
        </w:tc>
        <w:tc>
          <w:tcPr>
            <w:tcW w:w="2837"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rPr>
              <w:t>具备餐用具清洗消毒场所，面积与其经营规模相适应。食品处理区使用面</w:t>
            </w:r>
            <w:r>
              <w:rPr>
                <w:rFonts w:hint="eastAsia" w:ascii="仿宋_GB2312" w:hAnsi="宋体" w:eastAsia="仿宋_GB2312" w:cs="仿宋_GB2312"/>
                <w:color w:val="000000" w:themeColor="text1"/>
                <w:kern w:val="0"/>
                <w14:textFill>
                  <w14:solidFill>
                    <w14:schemeClr w14:val="tx1"/>
                  </w14:solidFill>
                </w14:textFill>
              </w:rPr>
              <w:t>积不小于30</w:t>
            </w:r>
            <w:r>
              <w:rPr>
                <w:rFonts w:ascii="仿宋_GB2312" w:hAnsi="仿宋" w:eastAsia="仿宋_GB2312" w:cs="宋体"/>
                <w:color w:val="000000" w:themeColor="text1"/>
                <w:kern w:val="0"/>
                <w:szCs w:val="21"/>
                <w:lang w:val="zh-CN"/>
                <w14:textFill>
                  <w14:solidFill>
                    <w14:schemeClr w14:val="tx1"/>
                  </w14:solidFill>
                </w14:textFill>
              </w:rPr>
              <w:t>m</w:t>
            </w:r>
            <w:r>
              <w:rPr>
                <w:rFonts w:ascii="仿宋_GB2312" w:hAnsi="仿宋" w:eastAsia="仿宋_GB2312" w:cs="宋体"/>
                <w:color w:val="000000" w:themeColor="text1"/>
                <w:kern w:val="0"/>
                <w:szCs w:val="21"/>
                <w:vertAlign w:val="superscript"/>
                <w:lang w:val="zh-CN"/>
                <w14:textFill>
                  <w14:solidFill>
                    <w14:schemeClr w14:val="tx1"/>
                  </w14:solidFill>
                </w14:textFill>
              </w:rPr>
              <w:t>2</w:t>
            </w:r>
            <w:r>
              <w:rPr>
                <w:rFonts w:hint="eastAsia" w:ascii="仿宋_GB2312" w:hAnsi="宋体" w:eastAsia="仿宋_GB2312" w:cs="仿宋_GB2312"/>
                <w:color w:val="000000" w:themeColor="text1"/>
                <w:kern w:val="0"/>
                <w14:textFill>
                  <w14:solidFill>
                    <w14:schemeClr w14:val="tx1"/>
                  </w14:solidFill>
                </w14:textFill>
              </w:rPr>
              <w:t>或单位</w:t>
            </w:r>
            <w:r>
              <w:rPr>
                <w:rFonts w:hint="eastAsia" w:ascii="仿宋_GB2312" w:hAnsi="宋体" w:eastAsia="仿宋_GB2312" w:cs="仿宋_GB2312"/>
                <w:color w:val="000000"/>
                <w:kern w:val="0"/>
              </w:rPr>
              <w:t>食堂经营场所服务场所使用面积不小于150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的，须设独立餐用具清洗消毒场所</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0</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不得缺项</w:t>
            </w:r>
            <w:r>
              <w:rPr>
                <w:rFonts w:hint="eastAsia" w:ascii="仿宋_GB2312" w:hAnsi="宋体" w:eastAsia="仿宋_GB2312" w:cs="仿宋_GB2312"/>
                <w:color w:val="FF0000"/>
                <w:kern w:val="0"/>
                <w:lang w:eastAsia="zh-CN"/>
              </w:rPr>
              <w:t>（使用一次性餐饮具单位除外）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336"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配备能正常运转的餐用具清洗、消毒、保洁设备设施并专用，大小和数量能满足需要</w:t>
            </w:r>
          </w:p>
        </w:tc>
        <w:tc>
          <w:tcPr>
            <w:tcW w:w="301" w:type="pct"/>
            <w:vAlign w:val="center"/>
          </w:tcPr>
          <w:p>
            <w:pPr>
              <w:widowControl/>
              <w:jc w:val="center"/>
              <w:rPr>
                <w:rFonts w:hint="eastAsia" w:ascii="仿宋_GB2312" w:hAnsi="宋体" w:eastAsia="仿宋_GB2312"/>
                <w:color w:val="000000"/>
                <w:kern w:val="0"/>
                <w:lang w:eastAsia="zh-CN"/>
              </w:rPr>
            </w:pPr>
            <w:r>
              <w:rPr>
                <w:rFonts w:hint="eastAsia"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1</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r>
              <w:rPr>
                <w:rFonts w:hint="eastAsia" w:ascii="仿宋_GB2312" w:hAnsi="宋体" w:eastAsia="仿宋_GB2312" w:cs="仿宋_GB2312"/>
                <w:color w:val="FF0000"/>
                <w:kern w:val="0"/>
                <w:lang w:eastAsia="zh-CN"/>
              </w:rPr>
              <w:t>（使用一次性餐饮具单位除外）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336"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首选物理清洗消毒方式（因材质无法采用的除外），根据需要设置餐用具清洗水池数量</w:t>
            </w:r>
          </w:p>
        </w:tc>
        <w:tc>
          <w:tcPr>
            <w:tcW w:w="301" w:type="pct"/>
            <w:vAlign w:val="center"/>
          </w:tcPr>
          <w:p>
            <w:pPr>
              <w:widowControl/>
              <w:jc w:val="center"/>
              <w:rPr>
                <w:rFonts w:hint="eastAsia" w:ascii="仿宋_GB2312" w:hAnsi="宋体" w:eastAsia="仿宋_GB2312"/>
                <w:color w:val="000000"/>
                <w:kern w:val="0"/>
                <w:lang w:eastAsia="zh-CN"/>
              </w:rPr>
            </w:pPr>
            <w:r>
              <w:rPr>
                <w:rFonts w:hint="eastAsia"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2</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336"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核查</w:t>
            </w:r>
          </w:p>
          <w:p>
            <w:pPr>
              <w:widowControl/>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b/>
                <w:bCs/>
                <w:color w:val="000000"/>
                <w:kern w:val="0"/>
              </w:rPr>
              <w:t>内容</w:t>
            </w:r>
          </w:p>
        </w:tc>
        <w:tc>
          <w:tcPr>
            <w:tcW w:w="2837" w:type="pct"/>
            <w:vMerge w:val="restart"/>
            <w:vAlign w:val="center"/>
          </w:tcPr>
          <w:p>
            <w:pPr>
              <w:widowControl/>
              <w:jc w:val="center"/>
              <w:rPr>
                <w:rFonts w:hint="eastAsia" w:ascii="仿宋_GB2312" w:hAnsi="宋体" w:eastAsia="仿宋_GB2312" w:cs="仿宋_GB2312"/>
                <w:b/>
                <w:bCs/>
                <w:color w:val="000000"/>
                <w:kern w:val="0"/>
                <w:lang w:val="en-US" w:eastAsia="zh-CN"/>
              </w:rPr>
            </w:pPr>
            <w:r>
              <w:rPr>
                <w:rFonts w:hint="eastAsia" w:ascii="仿宋_GB2312" w:hAnsi="宋体" w:eastAsia="仿宋_GB2312" w:cs="仿宋_GB2312"/>
                <w:b/>
                <w:bCs/>
                <w:color w:val="000000"/>
                <w:kern w:val="0"/>
              </w:rPr>
              <w:t>核查和评价方法</w:t>
            </w:r>
          </w:p>
        </w:tc>
        <w:tc>
          <w:tcPr>
            <w:tcW w:w="301" w:type="pct"/>
            <w:vMerge w:val="restart"/>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编号</w:t>
            </w:r>
          </w:p>
        </w:tc>
        <w:tc>
          <w:tcPr>
            <w:tcW w:w="333" w:type="pct"/>
            <w:vMerge w:val="restart"/>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重要性</w:t>
            </w:r>
          </w:p>
        </w:tc>
        <w:tc>
          <w:tcPr>
            <w:tcW w:w="1191" w:type="pct"/>
            <w:gridSpan w:val="3"/>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336" w:type="pct"/>
            <w:vMerge w:val="continue"/>
            <w:tcBorders/>
            <w:vAlign w:val="center"/>
          </w:tcPr>
          <w:p>
            <w:pPr>
              <w:widowControl/>
              <w:jc w:val="center"/>
              <w:rPr>
                <w:rFonts w:hint="eastAsia" w:ascii="仿宋_GB2312" w:hAnsi="宋体" w:eastAsia="仿宋_GB2312" w:cs="仿宋_GB2312"/>
                <w:b/>
                <w:bCs/>
                <w:color w:val="000000"/>
                <w:kern w:val="0"/>
              </w:rPr>
            </w:pPr>
          </w:p>
        </w:tc>
        <w:tc>
          <w:tcPr>
            <w:tcW w:w="2837" w:type="pct"/>
            <w:vMerge w:val="continue"/>
            <w:tcBorders/>
            <w:vAlign w:val="center"/>
          </w:tcPr>
          <w:p>
            <w:pPr>
              <w:widowControl/>
              <w:jc w:val="center"/>
              <w:rPr>
                <w:rFonts w:hint="eastAsia" w:ascii="仿宋_GB2312" w:hAnsi="宋体" w:eastAsia="仿宋_GB2312" w:cs="仿宋_GB2312"/>
                <w:b/>
                <w:bCs/>
                <w:color w:val="000000"/>
                <w:kern w:val="0"/>
              </w:rPr>
            </w:pPr>
          </w:p>
        </w:tc>
        <w:tc>
          <w:tcPr>
            <w:tcW w:w="301" w:type="pct"/>
            <w:vMerge w:val="continue"/>
            <w:tcBorders/>
            <w:vAlign w:val="center"/>
          </w:tcPr>
          <w:p>
            <w:pPr>
              <w:widowControl/>
              <w:jc w:val="center"/>
              <w:rPr>
                <w:rFonts w:hint="eastAsia" w:ascii="仿宋_GB2312" w:hAnsi="宋体" w:eastAsia="仿宋_GB2312" w:cs="仿宋_GB2312"/>
                <w:b/>
                <w:bCs/>
                <w:color w:val="000000"/>
                <w:kern w:val="0"/>
              </w:rPr>
            </w:pPr>
          </w:p>
        </w:tc>
        <w:tc>
          <w:tcPr>
            <w:tcW w:w="333" w:type="pct"/>
            <w:vMerge w:val="continue"/>
            <w:tcBorders/>
            <w:vAlign w:val="center"/>
          </w:tcPr>
          <w:p>
            <w:pPr>
              <w:widowControl/>
              <w:jc w:val="center"/>
              <w:rPr>
                <w:rFonts w:hint="eastAsia" w:ascii="仿宋_GB2312" w:hAnsi="宋体" w:eastAsia="仿宋_GB2312" w:cs="仿宋_GB2312"/>
                <w:b/>
                <w:bCs/>
                <w:color w:val="000000"/>
                <w:kern w:val="0"/>
              </w:rPr>
            </w:pPr>
          </w:p>
        </w:tc>
        <w:tc>
          <w:tcPr>
            <w:tcW w:w="294" w:type="pct"/>
            <w:vAlign w:val="center"/>
          </w:tcPr>
          <w:p>
            <w:pPr>
              <w:widowControl/>
              <w:jc w:val="center"/>
              <w:rPr>
                <w:rFonts w:hint="eastAsia" w:ascii="仿宋_GB2312" w:hAnsi="宋体" w:eastAsia="仿宋_GB2312" w:cs="仿宋_GB2312"/>
                <w:b/>
                <w:bCs/>
                <w:color w:val="000000"/>
                <w:kern w:val="0"/>
                <w:lang w:eastAsia="zh-CN"/>
              </w:rPr>
            </w:pPr>
            <w:r>
              <w:rPr>
                <w:rFonts w:hint="eastAsia" w:ascii="仿宋_GB2312" w:hAnsi="宋体" w:eastAsia="仿宋_GB2312" w:cs="仿宋_GB2312"/>
                <w:b/>
                <w:bCs/>
                <w:color w:val="000000"/>
                <w:kern w:val="0"/>
                <w:lang w:eastAsia="zh-CN"/>
              </w:rPr>
              <w:t>符合</w:t>
            </w:r>
          </w:p>
        </w:tc>
        <w:tc>
          <w:tcPr>
            <w:tcW w:w="372" w:type="pct"/>
            <w:vAlign w:val="center"/>
          </w:tcPr>
          <w:p>
            <w:pPr>
              <w:widowControl/>
              <w:jc w:val="center"/>
              <w:rPr>
                <w:rFonts w:hint="eastAsia" w:ascii="仿宋_GB2312" w:hAnsi="宋体" w:eastAsia="仿宋_GB2312" w:cs="仿宋_GB2312"/>
                <w:b/>
                <w:bCs/>
                <w:color w:val="000000"/>
                <w:kern w:val="0"/>
                <w:lang w:eastAsia="zh-CN"/>
              </w:rPr>
            </w:pPr>
            <w:r>
              <w:rPr>
                <w:rFonts w:hint="eastAsia" w:ascii="仿宋_GB2312" w:hAnsi="宋体" w:eastAsia="仿宋_GB2312" w:cs="仿宋_GB2312"/>
                <w:b/>
                <w:bCs/>
                <w:color w:val="000000"/>
                <w:kern w:val="0"/>
                <w:lang w:eastAsia="zh-CN"/>
              </w:rPr>
              <w:t>不符合</w:t>
            </w:r>
          </w:p>
        </w:tc>
        <w:tc>
          <w:tcPr>
            <w:tcW w:w="525" w:type="pct"/>
            <w:vAlign w:val="center"/>
          </w:tcPr>
          <w:p>
            <w:pPr>
              <w:widowControl/>
              <w:jc w:val="center"/>
              <w:rPr>
                <w:rFonts w:hint="eastAsia" w:ascii="仿宋_GB2312" w:hAnsi="宋体" w:eastAsia="仿宋_GB2312" w:cs="仿宋_GB2312"/>
                <w:b/>
                <w:bCs/>
                <w:color w:val="000000"/>
                <w:kern w:val="0"/>
                <w:sz w:val="24"/>
                <w:szCs w:val="24"/>
                <w:lang w:eastAsia="zh-CN"/>
              </w:rPr>
            </w:pPr>
            <w:r>
              <w:rPr>
                <w:rFonts w:hint="eastAsia" w:ascii="仿宋_GB2312" w:hAnsi="宋体" w:eastAsia="仿宋_GB2312" w:cs="仿宋_GB2312"/>
                <w:b/>
                <w:bCs/>
                <w:color w:val="000000"/>
                <w:kern w:val="0"/>
                <w:sz w:val="24"/>
                <w:szCs w:val="24"/>
                <w:lang w:eastAsia="zh-CN"/>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336" w:type="pct"/>
            <w:vMerge w:val="restart"/>
            <w:vAlign w:val="center"/>
          </w:tcPr>
          <w:p>
            <w:pPr>
              <w:widowControl/>
              <w:adjustRightInd w:val="0"/>
              <w:snapToGrid w:val="0"/>
              <w:spacing w:line="240" w:lineRule="exac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rPr>
              <w:t>采用化学消毒的，设有</w:t>
            </w:r>
            <w:r>
              <w:rPr>
                <w:rFonts w:ascii="仿宋_GB2312" w:hAnsi="宋体" w:eastAsia="仿宋_GB2312" w:cs="仿宋_GB2312"/>
                <w:color w:val="000000"/>
                <w:kern w:val="0"/>
              </w:rPr>
              <w:t>3</w:t>
            </w:r>
            <w:r>
              <w:rPr>
                <w:rFonts w:hint="eastAsia" w:ascii="仿宋_GB2312" w:hAnsi="宋体" w:eastAsia="仿宋_GB2312" w:cs="仿宋_GB2312"/>
                <w:color w:val="000000"/>
                <w:kern w:val="0"/>
              </w:rPr>
              <w:t>个专用水池，各类水池以明显标识标明其用途</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3</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336"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餐用具的保洁设施应标记明显，利于防尘、清洁</w:t>
            </w:r>
          </w:p>
        </w:tc>
        <w:tc>
          <w:tcPr>
            <w:tcW w:w="301" w:type="pct"/>
            <w:vAlign w:val="center"/>
          </w:tcPr>
          <w:p>
            <w:pPr>
              <w:widowControl/>
              <w:jc w:val="center"/>
              <w:rPr>
                <w:rFonts w:hint="eastAsia" w:ascii="仿宋_GB2312" w:hAnsi="宋体" w:eastAsia="仿宋_GB2312"/>
                <w:color w:val="000000"/>
                <w:kern w:val="0"/>
                <w:lang w:eastAsia="zh-CN"/>
              </w:rPr>
            </w:pPr>
            <w:r>
              <w:rPr>
                <w:rFonts w:hint="eastAsia"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4</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r>
              <w:rPr>
                <w:rFonts w:hint="eastAsia" w:ascii="仿宋_GB2312" w:hAnsi="宋体" w:eastAsia="仿宋_GB2312" w:cs="仿宋_GB2312"/>
                <w:color w:val="FF0000"/>
                <w:kern w:val="0"/>
                <w:lang w:eastAsia="zh-CN"/>
              </w:rPr>
              <w:t>（使用一次性餐饮具单位除外）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restar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5</w:t>
            </w:r>
            <w:r>
              <w:rPr>
                <w:rFonts w:ascii="仿宋_GB2312" w:hAnsi="宋体" w:eastAsia="仿宋_GB2312" w:cs="仿宋_GB2312"/>
                <w:color w:val="000000"/>
                <w:kern w:val="0"/>
              </w:rPr>
              <w:t>.</w:t>
            </w:r>
            <w:r>
              <w:rPr>
                <w:rFonts w:hint="eastAsia" w:ascii="仿宋_GB2312" w:hAnsi="宋体" w:eastAsia="仿宋_GB2312" w:cs="仿宋_GB2312"/>
                <w:color w:val="000000"/>
                <w:kern w:val="0"/>
              </w:rPr>
              <w:t>地面与排水</w:t>
            </w: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olor w:val="000000"/>
                <w:kern w:val="0"/>
                <w:lang w:val="zh-CN"/>
              </w:rPr>
              <w:t>地面的铺设材料应当无毒、无异味、不透水、耐腐蚀。地面平坦防滑，易于清洗</w:t>
            </w:r>
            <w:r>
              <w:rPr>
                <w:rFonts w:hint="eastAsia" w:ascii="仿宋_GB2312" w:hAnsi="宋体" w:eastAsia="仿宋_GB2312" w:cs="仿宋_GB2312"/>
                <w:color w:val="000000"/>
                <w:kern w:val="0"/>
              </w:rPr>
              <w:t>烹饪</w:t>
            </w:r>
          </w:p>
        </w:tc>
        <w:tc>
          <w:tcPr>
            <w:tcW w:w="301" w:type="pct"/>
            <w:vAlign w:val="center"/>
          </w:tcPr>
          <w:p>
            <w:pPr>
              <w:widowControl/>
              <w:jc w:val="center"/>
              <w:rPr>
                <w:rFonts w:hint="eastAsia" w:ascii="仿宋_GB2312" w:hAnsi="宋体" w:eastAsia="仿宋_GB2312"/>
                <w:color w:val="000000"/>
                <w:kern w:val="0"/>
                <w:lang w:eastAsia="zh-CN"/>
              </w:rPr>
            </w:pPr>
            <w:r>
              <w:rPr>
                <w:rFonts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5</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336"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olor w:val="000000"/>
                <w:kern w:val="0"/>
                <w:lang w:val="zh-CN"/>
              </w:rPr>
              <w:t>地面有排水系统。排水沟篦子应完整，篦子缝应小于10mm且无破损</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6</w:t>
            </w:r>
          </w:p>
        </w:tc>
        <w:tc>
          <w:tcPr>
            <w:tcW w:w="333"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336" w:type="pct"/>
            <w:vMerge w:val="restar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6</w:t>
            </w:r>
            <w:r>
              <w:rPr>
                <w:rFonts w:ascii="仿宋_GB2312" w:hAnsi="宋体" w:eastAsia="仿宋_GB2312" w:cs="仿宋_GB2312"/>
                <w:color w:val="000000"/>
                <w:kern w:val="0"/>
              </w:rPr>
              <w:t>.</w:t>
            </w:r>
            <w:r>
              <w:rPr>
                <w:rFonts w:hint="eastAsia" w:ascii="仿宋_GB2312" w:hAnsi="宋体" w:eastAsia="仿宋_GB2312" w:cs="仿宋_GB2312"/>
                <w:color w:val="000000"/>
                <w:kern w:val="0"/>
              </w:rPr>
              <w:t>墙壁与门窗</w:t>
            </w:r>
          </w:p>
        </w:tc>
        <w:tc>
          <w:tcPr>
            <w:tcW w:w="2837"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墙壁采用的涂覆或铺设材料应无毒、无异味、不透水、防霉、不易脱落、易清洁</w:t>
            </w:r>
          </w:p>
        </w:tc>
        <w:tc>
          <w:tcPr>
            <w:tcW w:w="301" w:type="pct"/>
            <w:vAlign w:val="center"/>
          </w:tcPr>
          <w:p>
            <w:pPr>
              <w:widowControl/>
              <w:jc w:val="center"/>
              <w:rPr>
                <w:rFonts w:hint="eastAsia" w:ascii="仿宋_GB2312" w:hAnsi="宋体" w:eastAsia="仿宋_GB2312"/>
                <w:color w:val="000000"/>
                <w:kern w:val="0"/>
                <w:lang w:eastAsia="zh-CN"/>
              </w:rPr>
            </w:pPr>
            <w:r>
              <w:rPr>
                <w:rFonts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7</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36" w:type="pct"/>
            <w:vMerge w:val="continue"/>
            <w:vAlign w:val="center"/>
          </w:tcPr>
          <w:p>
            <w:pPr>
              <w:widowControl/>
              <w:adjustRightInd w:val="0"/>
              <w:snapToGrid w:val="0"/>
              <w:spacing w:line="240" w:lineRule="exact"/>
              <w:rPr>
                <w:rFonts w:ascii="仿宋_GB2312" w:hAnsi="宋体" w:eastAsia="仿宋_GB2312" w:cs="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rPr>
              <w:t>需经常冲洗的场所在操作高度范围内的墙面还应光滑、防水、不易积垢且易于清洗</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1</w:t>
            </w:r>
            <w:r>
              <w:rPr>
                <w:rFonts w:hint="eastAsia" w:ascii="仿宋_GB2312" w:hAnsi="宋体" w:eastAsia="仿宋_GB2312" w:cs="仿宋_GB2312"/>
                <w:color w:val="000000"/>
                <w:kern w:val="0"/>
                <w:lang w:val="en-US" w:eastAsia="zh-CN"/>
              </w:rPr>
              <w:t>8</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36" w:type="pct"/>
            <w:vMerge w:val="continue"/>
            <w:vAlign w:val="center"/>
          </w:tcPr>
          <w:p>
            <w:pPr>
              <w:widowControl/>
              <w:adjustRightInd w:val="0"/>
              <w:snapToGrid w:val="0"/>
              <w:spacing w:line="240" w:lineRule="exact"/>
              <w:rPr>
                <w:rFonts w:ascii="仿宋_GB2312" w:hAnsi="宋体" w:eastAsia="仿宋_GB2312" w:cs="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门、窗应闭合严密，采用不透水、坚固、不变形的材料制成，结构上应易于维护、清洁</w:t>
            </w:r>
          </w:p>
        </w:tc>
        <w:tc>
          <w:tcPr>
            <w:tcW w:w="301"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19</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36" w:type="pct"/>
            <w:vMerge w:val="continue"/>
            <w:vAlign w:val="center"/>
          </w:tcPr>
          <w:p>
            <w:pPr>
              <w:widowControl/>
              <w:adjustRightInd w:val="0"/>
              <w:snapToGrid w:val="0"/>
              <w:spacing w:line="240" w:lineRule="exact"/>
              <w:rPr>
                <w:rFonts w:ascii="仿宋_GB2312" w:hAnsi="宋体" w:eastAsia="仿宋_GB2312" w:cs="仿宋_GB2312"/>
                <w:color w:val="000000"/>
                <w:kern w:val="0"/>
              </w:rPr>
            </w:pPr>
          </w:p>
        </w:tc>
        <w:tc>
          <w:tcPr>
            <w:tcW w:w="2837" w:type="pct"/>
            <w:vAlign w:val="center"/>
          </w:tcPr>
          <w:p>
            <w:pPr>
              <w:widowControl/>
              <w:adjustRightInd w:val="0"/>
              <w:snapToGrid w:val="0"/>
              <w:spacing w:line="240" w:lineRule="exact"/>
              <w:rPr>
                <w:rFonts w:ascii="仿宋_GB2312" w:hAnsi="宋体" w:eastAsia="仿宋_GB2312" w:cs="仿宋_GB2312"/>
                <w:color w:val="000000"/>
                <w:kern w:val="0"/>
                <w:lang w:val="zh-CN"/>
              </w:rPr>
            </w:pPr>
            <w:r>
              <w:rPr>
                <w:rFonts w:hint="eastAsia" w:ascii="仿宋_GB2312" w:hAnsi="宋体" w:eastAsia="仿宋_GB2312" w:cs="仿宋_GB2312"/>
                <w:color w:val="000000"/>
                <w:kern w:val="0"/>
                <w:lang w:val="zh-CN"/>
              </w:rPr>
              <w:t>需经常冲洗场所的门，表面还应光滑，不易积垢</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0</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pStyle w:val="2"/>
              <w:ind w:firstLine="0" w:firstLineChars="0"/>
            </w:pPr>
            <w:r>
              <w:rPr>
                <w:rFonts w:hint="eastAsia" w:ascii="仿宋_GB2312" w:hAnsi="宋体" w:eastAsia="仿宋_GB2312" w:cs="仿宋_GB2312"/>
                <w:color w:val="000000"/>
                <w:kern w:val="0"/>
                <w:sz w:val="21"/>
                <w:szCs w:val="20"/>
              </w:rPr>
              <w:t>与外界直接相通的通风口、换气窗外部，应加装不小于16目的防虫筛网</w:t>
            </w:r>
          </w:p>
        </w:tc>
        <w:tc>
          <w:tcPr>
            <w:tcW w:w="301" w:type="pct"/>
            <w:vAlign w:val="center"/>
          </w:tcPr>
          <w:p>
            <w:pPr>
              <w:widowControl/>
              <w:jc w:val="center"/>
              <w:rPr>
                <w:rFonts w:hint="eastAsia" w:ascii="仿宋_GB2312" w:hAnsi="宋体" w:eastAsia="仿宋_GB2312"/>
                <w:color w:val="000000"/>
                <w:kern w:val="0"/>
                <w:lang w:eastAsia="zh-CN"/>
              </w:rPr>
            </w:pPr>
            <w:r>
              <w:rPr>
                <w:rFonts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1</w:t>
            </w:r>
          </w:p>
        </w:tc>
        <w:tc>
          <w:tcPr>
            <w:tcW w:w="333"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restart"/>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7</w:t>
            </w:r>
            <w:r>
              <w:rPr>
                <w:rFonts w:ascii="仿宋_GB2312" w:hAnsi="宋体" w:eastAsia="仿宋_GB2312" w:cs="仿宋_GB2312"/>
                <w:color w:val="000000"/>
                <w:kern w:val="0"/>
              </w:rPr>
              <w:t>.</w:t>
            </w:r>
            <w:r>
              <w:rPr>
                <w:rFonts w:hint="eastAsia" w:ascii="仿宋_GB2312" w:hAnsi="宋体" w:eastAsia="仿宋_GB2312" w:cs="仿宋_GB2312"/>
                <w:color w:val="000000"/>
                <w:kern w:val="0"/>
              </w:rPr>
              <w:t>天花板</w:t>
            </w: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餐饮服务场所天花板的涂覆或装修材料应无毒、无异味、防霉、不易脱落、易于清洁</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2</w:t>
            </w:r>
          </w:p>
        </w:tc>
        <w:tc>
          <w:tcPr>
            <w:tcW w:w="333"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s="仿宋_GB2312"/>
                <w:color w:val="000000"/>
                <w:kern w:val="0"/>
              </w:rPr>
            </w:pPr>
          </w:p>
        </w:tc>
        <w:tc>
          <w:tcPr>
            <w:tcW w:w="2837" w:type="pct"/>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食品烹饪、食品冷却、餐用具清洗消毒等区域天花板涂覆或装修的材料应不吸水、耐高温、耐腐蚀</w:t>
            </w:r>
          </w:p>
        </w:tc>
        <w:tc>
          <w:tcPr>
            <w:tcW w:w="301" w:type="pct"/>
            <w:vAlign w:val="center"/>
          </w:tcPr>
          <w:p>
            <w:pPr>
              <w:widowControl/>
              <w:jc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3</w:t>
            </w:r>
          </w:p>
        </w:tc>
        <w:tc>
          <w:tcPr>
            <w:tcW w:w="333"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lang w:val="zh-CN"/>
              </w:rPr>
              <w:t>食品</w:t>
            </w:r>
            <w:r>
              <w:rPr>
                <w:rFonts w:hint="eastAsia" w:ascii="仿宋_GB2312" w:hAnsi="宋体" w:eastAsia="仿宋_GB2312" w:cs="仿宋_GB2312"/>
                <w:color w:val="000000"/>
                <w:kern w:val="0"/>
              </w:rPr>
              <w:t>半成品、成品和清洁餐用具暴露区域上方的天花板应能避免灰尘散落</w:t>
            </w:r>
            <w:r>
              <w:rPr>
                <w:rFonts w:ascii="仿宋_GB2312" w:hAnsi="宋体" w:eastAsia="仿宋_GB2312" w:cs="仿宋_GB2312"/>
                <w:color w:val="000000"/>
                <w:kern w:val="0"/>
              </w:rPr>
              <w:t>,防止有害生物</w:t>
            </w:r>
            <w:r>
              <w:rPr>
                <w:rFonts w:hint="eastAsia" w:ascii="仿宋_GB2312" w:hAnsi="宋体" w:eastAsia="仿宋_GB2312" w:cs="仿宋_GB2312"/>
                <w:color w:val="000000"/>
                <w:kern w:val="0"/>
              </w:rPr>
              <w:t>孳生和霉菌繁殖</w:t>
            </w:r>
          </w:p>
        </w:tc>
        <w:tc>
          <w:tcPr>
            <w:tcW w:w="301" w:type="pct"/>
            <w:vAlign w:val="center"/>
          </w:tcPr>
          <w:p>
            <w:pPr>
              <w:widowControl/>
              <w:jc w:val="center"/>
              <w:rPr>
                <w:rFonts w:hint="eastAsia" w:ascii="仿宋_GB2312" w:hAnsi="宋体" w:eastAsia="仿宋_GB2312"/>
                <w:color w:val="000000"/>
                <w:kern w:val="0"/>
                <w:lang w:eastAsia="zh-CN"/>
              </w:rPr>
            </w:pPr>
            <w:r>
              <w:rPr>
                <w:rFonts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4</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水蒸汽较多的场所的天花板有适当的坡度，在结构上减少凝结水滴落</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5</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336"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核查</w:t>
            </w:r>
          </w:p>
          <w:p>
            <w:pPr>
              <w:widowControl/>
              <w:jc w:val="center"/>
              <w:rPr>
                <w:rFonts w:hint="eastAsia" w:ascii="仿宋_GB2312" w:hAnsi="宋体" w:eastAsia="仿宋_GB2312" w:cs="Times New Roman"/>
                <w:color w:val="000000"/>
                <w:kern w:val="0"/>
                <w:sz w:val="21"/>
                <w:lang w:val="en-US" w:eastAsia="zh-CN" w:bidi="ar-SA"/>
              </w:rPr>
            </w:pPr>
            <w:r>
              <w:rPr>
                <w:rFonts w:hint="eastAsia" w:ascii="仿宋_GB2312" w:hAnsi="宋体" w:eastAsia="仿宋_GB2312" w:cs="仿宋_GB2312"/>
                <w:b/>
                <w:bCs/>
                <w:color w:val="000000"/>
                <w:kern w:val="0"/>
              </w:rPr>
              <w:t>内容</w:t>
            </w:r>
          </w:p>
        </w:tc>
        <w:tc>
          <w:tcPr>
            <w:tcW w:w="2837" w:type="pct"/>
            <w:vMerge w:val="restart"/>
            <w:vAlign w:val="center"/>
          </w:tcPr>
          <w:p>
            <w:pPr>
              <w:widowControl/>
              <w:jc w:val="center"/>
              <w:rPr>
                <w:rFonts w:hint="eastAsia" w:ascii="仿宋_GB2312" w:hAnsi="宋体" w:eastAsia="仿宋_GB2312" w:cs="仿宋_GB2312"/>
                <w:color w:val="000000"/>
                <w:kern w:val="0"/>
                <w:sz w:val="21"/>
                <w:lang w:val="zh-CN" w:eastAsia="zh-CN" w:bidi="ar-SA"/>
              </w:rPr>
            </w:pPr>
            <w:r>
              <w:rPr>
                <w:rFonts w:hint="eastAsia" w:ascii="仿宋_GB2312" w:hAnsi="宋体" w:eastAsia="仿宋_GB2312" w:cs="仿宋_GB2312"/>
                <w:b/>
                <w:bCs/>
                <w:color w:val="000000"/>
                <w:kern w:val="0"/>
                <w:sz w:val="24"/>
                <w:szCs w:val="24"/>
              </w:rPr>
              <w:t>核查和评价方法</w:t>
            </w:r>
          </w:p>
        </w:tc>
        <w:tc>
          <w:tcPr>
            <w:tcW w:w="301" w:type="pct"/>
            <w:vMerge w:val="restart"/>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编号</w:t>
            </w:r>
          </w:p>
        </w:tc>
        <w:tc>
          <w:tcPr>
            <w:tcW w:w="333" w:type="pct"/>
            <w:vMerge w:val="restart"/>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重要性</w:t>
            </w:r>
          </w:p>
        </w:tc>
        <w:tc>
          <w:tcPr>
            <w:tcW w:w="1191" w:type="pct"/>
            <w:gridSpan w:val="3"/>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36" w:type="pct"/>
            <w:vMerge w:val="continue"/>
            <w:tcBorders/>
            <w:vAlign w:val="center"/>
          </w:tcPr>
          <w:p>
            <w:pPr>
              <w:widowControl/>
              <w:jc w:val="center"/>
              <w:rPr>
                <w:rFonts w:hint="eastAsia" w:ascii="仿宋_GB2312" w:hAnsi="宋体" w:eastAsia="仿宋_GB2312" w:cs="仿宋_GB2312"/>
                <w:b/>
                <w:bCs/>
                <w:color w:val="000000"/>
                <w:kern w:val="0"/>
              </w:rPr>
            </w:pPr>
          </w:p>
        </w:tc>
        <w:tc>
          <w:tcPr>
            <w:tcW w:w="2837" w:type="pct"/>
            <w:vMerge w:val="continue"/>
            <w:tcBorders/>
            <w:vAlign w:val="center"/>
          </w:tcPr>
          <w:p>
            <w:pPr>
              <w:widowControl/>
              <w:jc w:val="center"/>
              <w:rPr>
                <w:rFonts w:hint="eastAsia" w:ascii="仿宋_GB2312" w:hAnsi="宋体" w:eastAsia="仿宋_GB2312" w:cs="仿宋_GB2312"/>
                <w:b/>
                <w:bCs/>
                <w:color w:val="000000"/>
                <w:kern w:val="0"/>
                <w:sz w:val="24"/>
                <w:szCs w:val="24"/>
              </w:rPr>
            </w:pPr>
          </w:p>
        </w:tc>
        <w:tc>
          <w:tcPr>
            <w:tcW w:w="301" w:type="pct"/>
            <w:vMerge w:val="continue"/>
            <w:tcBorders/>
            <w:vAlign w:val="center"/>
          </w:tcPr>
          <w:p>
            <w:pPr>
              <w:widowControl/>
              <w:jc w:val="center"/>
              <w:rPr>
                <w:rFonts w:hint="eastAsia" w:ascii="仿宋_GB2312" w:hAnsi="宋体" w:eastAsia="仿宋_GB2312" w:cs="仿宋_GB2312"/>
                <w:b/>
                <w:bCs/>
                <w:color w:val="000000"/>
                <w:kern w:val="0"/>
              </w:rPr>
            </w:pPr>
          </w:p>
        </w:tc>
        <w:tc>
          <w:tcPr>
            <w:tcW w:w="333" w:type="pct"/>
            <w:vMerge w:val="continue"/>
            <w:tcBorders/>
            <w:vAlign w:val="center"/>
          </w:tcPr>
          <w:p>
            <w:pPr>
              <w:widowControl/>
              <w:jc w:val="center"/>
              <w:rPr>
                <w:rFonts w:hint="eastAsia" w:ascii="仿宋_GB2312" w:hAnsi="宋体" w:eastAsia="仿宋_GB2312" w:cs="仿宋_GB2312"/>
                <w:b/>
                <w:bCs/>
                <w:color w:val="000000"/>
                <w:kern w:val="0"/>
              </w:rPr>
            </w:pPr>
          </w:p>
        </w:tc>
        <w:tc>
          <w:tcPr>
            <w:tcW w:w="294" w:type="pct"/>
            <w:vAlign w:val="center"/>
          </w:tcPr>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lang w:eastAsia="zh-CN"/>
              </w:rPr>
              <w:t>符合</w:t>
            </w:r>
          </w:p>
        </w:tc>
        <w:tc>
          <w:tcPr>
            <w:tcW w:w="372" w:type="pct"/>
            <w:vAlign w:val="center"/>
          </w:tcPr>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lang w:eastAsia="zh-CN"/>
              </w:rPr>
              <w:t>不符合</w:t>
            </w:r>
          </w:p>
        </w:tc>
        <w:tc>
          <w:tcPr>
            <w:tcW w:w="525" w:type="pct"/>
            <w:vAlign w:val="center"/>
          </w:tcPr>
          <w:p>
            <w:pPr>
              <w:widowControl/>
              <w:jc w:val="center"/>
              <w:rPr>
                <w:rFonts w:hint="eastAsia" w:ascii="仿宋_GB2312" w:hAnsi="宋体" w:eastAsia="仿宋_GB2312" w:cs="仿宋_GB2312"/>
                <w:b/>
                <w:bCs/>
                <w:color w:val="000000"/>
                <w:kern w:val="0"/>
                <w:sz w:val="24"/>
                <w:szCs w:val="24"/>
                <w:lang w:val="en-US" w:eastAsia="zh-CN" w:bidi="ar-SA"/>
              </w:rPr>
            </w:pPr>
            <w:r>
              <w:rPr>
                <w:rFonts w:hint="eastAsia" w:ascii="仿宋_GB2312" w:hAnsi="宋体" w:eastAsia="仿宋_GB2312" w:cs="仿宋_GB2312"/>
                <w:b/>
                <w:bCs/>
                <w:color w:val="000000"/>
                <w:kern w:val="0"/>
                <w:sz w:val="24"/>
                <w:szCs w:val="24"/>
                <w:lang w:eastAsia="zh-CN"/>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36" w:type="pct"/>
            <w:vMerge w:val="restar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8</w:t>
            </w:r>
            <w:r>
              <w:rPr>
                <w:rFonts w:ascii="仿宋_GB2312" w:hAnsi="宋体" w:eastAsia="仿宋_GB2312" w:cs="仿宋_GB2312"/>
                <w:color w:val="000000"/>
                <w:kern w:val="0"/>
              </w:rPr>
              <w:t>.</w:t>
            </w:r>
            <w:r>
              <w:rPr>
                <w:rFonts w:hint="eastAsia" w:ascii="仿宋_GB2312" w:hAnsi="宋体" w:eastAsia="仿宋_GB2312" w:cs="仿宋_GB2312"/>
                <w:color w:val="000000"/>
                <w:kern w:val="0"/>
              </w:rPr>
              <w:t>洗手消毒</w:t>
            </w: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食品处理区内设置足够数量的洗手设施，其位置设置在方便员工使用的区域</w:t>
            </w:r>
          </w:p>
        </w:tc>
        <w:tc>
          <w:tcPr>
            <w:tcW w:w="301" w:type="pct"/>
            <w:vAlign w:val="center"/>
          </w:tcPr>
          <w:p>
            <w:pPr>
              <w:widowControl/>
              <w:jc w:val="center"/>
              <w:rPr>
                <w:rFonts w:hint="eastAsia" w:ascii="仿宋_GB2312" w:hAnsi="宋体" w:eastAsia="仿宋_GB2312"/>
                <w:color w:val="000000"/>
                <w:kern w:val="0"/>
                <w:lang w:eastAsia="zh-CN"/>
              </w:rPr>
            </w:pPr>
            <w:r>
              <w:rPr>
                <w:rFonts w:hint="eastAsia"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6</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lang w:val="zh-CN"/>
              </w:rPr>
              <w:t>员工专用洗手消毒设施附近应当有</w:t>
            </w:r>
            <w:r>
              <w:rPr>
                <w:rFonts w:hint="eastAsia" w:ascii="仿宋_GB2312" w:hAnsi="宋体" w:eastAsia="仿宋_GB2312" w:cs="仿宋_GB2312"/>
                <w:color w:val="000000"/>
                <w:kern w:val="0"/>
              </w:rPr>
              <w:t>相应的洗手用品、干手设施和</w:t>
            </w:r>
            <w:r>
              <w:rPr>
                <w:rFonts w:hint="eastAsia" w:ascii="仿宋_GB2312" w:hAnsi="宋体" w:eastAsia="仿宋_GB2312" w:cs="仿宋_GB2312"/>
                <w:color w:val="000000"/>
                <w:kern w:val="0"/>
                <w:lang w:val="zh-CN"/>
              </w:rPr>
              <w:t>洗手消毒方法标识</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7</w:t>
            </w:r>
          </w:p>
        </w:tc>
        <w:tc>
          <w:tcPr>
            <w:tcW w:w="333"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restar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9</w:t>
            </w:r>
            <w:r>
              <w:rPr>
                <w:rFonts w:ascii="仿宋_GB2312" w:hAnsi="宋体" w:eastAsia="仿宋_GB2312" w:cs="仿宋_GB2312"/>
                <w:color w:val="000000"/>
                <w:kern w:val="0"/>
              </w:rPr>
              <w:t>.</w:t>
            </w:r>
            <w:r>
              <w:rPr>
                <w:rFonts w:hint="eastAsia" w:ascii="仿宋_GB2312" w:hAnsi="宋体" w:eastAsia="仿宋_GB2312" w:cs="仿宋_GB2312"/>
                <w:color w:val="000000"/>
                <w:kern w:val="0"/>
              </w:rPr>
              <w:t>采光照明</w:t>
            </w: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食品处理区有充足的自然采光和人工照明，光泽和亮度应满足加工需要，不应改变食品的感官颜色</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2</w:t>
            </w:r>
            <w:r>
              <w:rPr>
                <w:rFonts w:hint="eastAsia" w:ascii="仿宋_GB2312" w:hAnsi="宋体" w:eastAsia="仿宋_GB2312" w:cs="仿宋_GB2312"/>
                <w:color w:val="000000"/>
                <w:kern w:val="0"/>
                <w:lang w:val="en-US" w:eastAsia="zh-CN"/>
              </w:rPr>
              <w:t>8</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36" w:type="pct"/>
            <w:vMerge w:val="continue"/>
            <w:vAlign w:val="center"/>
          </w:tcPr>
          <w:p>
            <w:pPr>
              <w:widowControl/>
              <w:rPr>
                <w:rFonts w:ascii="仿宋_GB2312" w:hAnsi="宋体" w:eastAsia="仿宋_GB2312" w:cs="仿宋_GB2312"/>
                <w:color w:val="000000"/>
                <w:kern w:val="0"/>
              </w:rPr>
            </w:pPr>
          </w:p>
        </w:tc>
        <w:tc>
          <w:tcPr>
            <w:tcW w:w="2837" w:type="pct"/>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安装在裸露食品正上方的照明设施使用安全型照明设施或安装防护罩</w:t>
            </w:r>
          </w:p>
        </w:tc>
        <w:tc>
          <w:tcPr>
            <w:tcW w:w="301"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29</w:t>
            </w:r>
          </w:p>
        </w:tc>
        <w:tc>
          <w:tcPr>
            <w:tcW w:w="333"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36" w:type="pct"/>
            <w:vMerge w:val="continue"/>
            <w:vAlign w:val="center"/>
          </w:tcPr>
          <w:p>
            <w:pPr>
              <w:widowControl/>
              <w:rPr>
                <w:rFonts w:ascii="仿宋_GB2312" w:hAnsi="宋体" w:eastAsia="仿宋_GB2312" w:cs="仿宋_GB2312"/>
                <w:color w:val="000000"/>
                <w:kern w:val="0"/>
              </w:rPr>
            </w:pPr>
          </w:p>
        </w:tc>
        <w:tc>
          <w:tcPr>
            <w:tcW w:w="2837" w:type="pct"/>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冷冻（藏）库房使用防爆灯</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0</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restart"/>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10</w:t>
            </w:r>
            <w:r>
              <w:rPr>
                <w:rFonts w:ascii="仿宋_GB2312" w:hAnsi="宋体" w:eastAsia="仿宋_GB2312" w:cs="仿宋_GB2312"/>
                <w:color w:val="000000"/>
                <w:kern w:val="0"/>
              </w:rPr>
              <w:t>.</w:t>
            </w:r>
            <w:r>
              <w:rPr>
                <w:rFonts w:hint="eastAsia" w:ascii="仿宋_GB2312" w:hAnsi="宋体" w:eastAsia="仿宋_GB2312" w:cs="仿宋_GB2312"/>
                <w:color w:val="000000"/>
                <w:kern w:val="0"/>
              </w:rPr>
              <w:t>废弃物暂存</w:t>
            </w: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食品处理区设废弃物存放设施。废弃物存放设施与食品加工制作容器有明显的区分</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1</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废弃物存放设施应有盖，能够防止污水渗漏、不良气味溢出和蚊虫滋生，并易于清洁</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2</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r>
              <w:rPr>
                <w:rFonts w:hint="eastAsia"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36" w:type="pct"/>
            <w:vMerge w:val="restart"/>
            <w:vAlign w:val="center"/>
          </w:tcPr>
          <w:p>
            <w:pPr>
              <w:widowControl/>
              <w:jc w:val="left"/>
              <w:rPr>
                <w:rFonts w:ascii="仿宋_GB2312" w:hAnsi="宋体" w:eastAsia="仿宋_GB2312"/>
                <w:color w:val="000000"/>
                <w:kern w:val="0"/>
              </w:rPr>
            </w:pPr>
            <w:r>
              <w:rPr>
                <w:rFonts w:hint="eastAsia" w:ascii="仿宋_GB2312" w:hAnsi="宋体" w:eastAsia="仿宋_GB2312"/>
                <w:color w:val="000000"/>
                <w:kern w:val="0"/>
              </w:rPr>
              <w:t>11.食品贮存场所和贮存设施</w:t>
            </w:r>
          </w:p>
        </w:tc>
        <w:tc>
          <w:tcPr>
            <w:tcW w:w="2837"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食品库房不得存放非食品物质（不会导致食品污染的食品容器、包装材料、工具等物品除外），同一库房内贮存原料、半成品、成品、包装材料的，应分设存放区域并显著标示，分离或分隔存放，防止交叉污染，并满足温湿度需求</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3</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库房内应设置足够数量的存放架，其结构及位置能够做到隔墙离地，以利于空气流通及物品搬运，避免虫害藏匿</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4</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使用食品添加剂的应设专柜（位）贮存，标注“食品添加剂”字样，并与食品、食品相关产品等分开存放</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5</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p>
        </w:tc>
        <w:tc>
          <w:tcPr>
            <w:tcW w:w="372" w:type="pct"/>
            <w:vAlign w:val="center"/>
          </w:tcPr>
          <w:p>
            <w:pPr>
              <w:widowControl/>
              <w:snapToGrid w:val="0"/>
              <w:jc w:val="center"/>
              <w:rPr>
                <w:rFonts w:ascii="仿宋_GB2312" w:hAnsi="宋体" w:eastAsia="仿宋_GB2312" w:cs="仿宋_GB2312"/>
                <w:color w:val="000000"/>
                <w:kern w:val="0"/>
              </w:rPr>
            </w:pPr>
          </w:p>
        </w:tc>
        <w:tc>
          <w:tcPr>
            <w:tcW w:w="52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冷藏、冷冻柜（库）数量和结构能使原料、半成品和成品分开存放，有明显区分标识</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6</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olor w:val="000000"/>
                <w:kern w:val="0"/>
              </w:rPr>
            </w:pPr>
          </w:p>
        </w:tc>
        <w:tc>
          <w:tcPr>
            <w:tcW w:w="2837"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除冷藏、冷冻库外的库房</w:t>
            </w:r>
            <w:r>
              <w:rPr>
                <w:rFonts w:hint="eastAsia" w:ascii="仿宋_GB2312" w:hAnsi="宋体" w:eastAsia="仿宋_GB2312" w:cs="仿宋_GB2312"/>
                <w:color w:val="000000"/>
                <w:kern w:val="0"/>
                <w:szCs w:val="21"/>
                <w:lang w:bidi="ar"/>
              </w:rPr>
              <w:t>设置通风、防潮及防止有害生物入侵的装置。设置挡鼠板（金属材质或非金属材质包铁皮），高度应不低于60cm</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7</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36" w:type="pct"/>
            <w:vMerge w:val="restart"/>
            <w:vAlign w:val="center"/>
          </w:tcPr>
          <w:p>
            <w:pPr>
              <w:widowControl/>
              <w:jc w:val="center"/>
              <w:rPr>
                <w:rFonts w:ascii="仿宋_GB2312" w:hAnsi="宋体" w:eastAsia="仿宋_GB2312"/>
                <w:b/>
                <w:bCs/>
                <w:color w:val="000000"/>
                <w:kern w:val="0"/>
              </w:rPr>
            </w:pPr>
            <w:bookmarkStart w:id="0" w:name="_GoBack" w:colFirst="3" w:colLast="3"/>
            <w:r>
              <w:rPr>
                <w:rFonts w:hint="eastAsia" w:ascii="仿宋_GB2312" w:hAnsi="宋体" w:eastAsia="仿宋_GB2312" w:cs="仿宋_GB2312"/>
                <w:b/>
                <w:bCs/>
                <w:color w:val="000000"/>
                <w:kern w:val="0"/>
              </w:rPr>
              <w:t>核查</w:t>
            </w:r>
          </w:p>
          <w:p>
            <w:pPr>
              <w:widowControl/>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b/>
                <w:bCs/>
                <w:color w:val="000000"/>
                <w:kern w:val="0"/>
              </w:rPr>
              <w:t>内容</w:t>
            </w:r>
          </w:p>
        </w:tc>
        <w:tc>
          <w:tcPr>
            <w:tcW w:w="2837" w:type="pct"/>
            <w:vMerge w:val="restart"/>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sz w:val="24"/>
                <w:szCs w:val="24"/>
              </w:rPr>
              <w:t>核查和评价方法</w:t>
            </w:r>
          </w:p>
        </w:tc>
        <w:tc>
          <w:tcPr>
            <w:tcW w:w="301" w:type="pct"/>
            <w:vMerge w:val="restart"/>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编号</w:t>
            </w:r>
          </w:p>
        </w:tc>
        <w:tc>
          <w:tcPr>
            <w:tcW w:w="333" w:type="pct"/>
            <w:vMerge w:val="restart"/>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重要性</w:t>
            </w:r>
          </w:p>
        </w:tc>
        <w:tc>
          <w:tcPr>
            <w:tcW w:w="1191" w:type="pct"/>
            <w:gridSpan w:val="3"/>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b/>
                <w:bCs/>
                <w:color w:val="000000"/>
                <w:kern w:val="0"/>
              </w:rPr>
              <w:t>结果判定</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36" w:type="pct"/>
            <w:vMerge w:val="continue"/>
            <w:tcBorders/>
            <w:vAlign w:val="center"/>
          </w:tcPr>
          <w:p>
            <w:pPr>
              <w:widowControl/>
              <w:jc w:val="center"/>
              <w:rPr>
                <w:rFonts w:hint="eastAsia" w:ascii="仿宋_GB2312" w:hAnsi="宋体" w:eastAsia="仿宋_GB2312" w:cs="仿宋_GB2312"/>
                <w:b/>
                <w:bCs/>
                <w:color w:val="000000"/>
                <w:kern w:val="0"/>
              </w:rPr>
            </w:pPr>
          </w:p>
        </w:tc>
        <w:tc>
          <w:tcPr>
            <w:tcW w:w="2837" w:type="pct"/>
            <w:vMerge w:val="continue"/>
            <w:tcBorders/>
            <w:vAlign w:val="center"/>
          </w:tcPr>
          <w:p>
            <w:pPr>
              <w:widowControl/>
              <w:jc w:val="center"/>
              <w:rPr>
                <w:rFonts w:hint="eastAsia" w:ascii="仿宋_GB2312" w:hAnsi="宋体" w:eastAsia="仿宋_GB2312" w:cs="仿宋_GB2312"/>
                <w:b/>
                <w:bCs/>
                <w:color w:val="000000"/>
                <w:kern w:val="0"/>
                <w:sz w:val="24"/>
                <w:szCs w:val="24"/>
              </w:rPr>
            </w:pPr>
          </w:p>
        </w:tc>
        <w:tc>
          <w:tcPr>
            <w:tcW w:w="301" w:type="pct"/>
            <w:vMerge w:val="continue"/>
            <w:tcBorders/>
            <w:vAlign w:val="center"/>
          </w:tcPr>
          <w:p>
            <w:pPr>
              <w:widowControl/>
              <w:jc w:val="center"/>
              <w:rPr>
                <w:rFonts w:hint="eastAsia" w:ascii="仿宋_GB2312" w:hAnsi="宋体" w:eastAsia="仿宋_GB2312" w:cs="仿宋_GB2312"/>
                <w:b/>
                <w:bCs/>
                <w:color w:val="000000"/>
                <w:kern w:val="0"/>
              </w:rPr>
            </w:pPr>
          </w:p>
        </w:tc>
        <w:tc>
          <w:tcPr>
            <w:tcW w:w="333" w:type="pct"/>
            <w:vMerge w:val="continue"/>
            <w:tcBorders/>
            <w:vAlign w:val="center"/>
          </w:tcPr>
          <w:p>
            <w:pPr>
              <w:widowControl/>
              <w:jc w:val="center"/>
              <w:rPr>
                <w:rFonts w:hint="eastAsia" w:ascii="仿宋_GB2312" w:hAnsi="宋体" w:eastAsia="仿宋_GB2312" w:cs="仿宋_GB2312"/>
                <w:b/>
                <w:bCs/>
                <w:color w:val="000000"/>
                <w:kern w:val="0"/>
              </w:rPr>
            </w:pPr>
          </w:p>
        </w:tc>
        <w:tc>
          <w:tcPr>
            <w:tcW w:w="294" w:type="pct"/>
            <w:vAlign w:val="center"/>
          </w:tcPr>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lang w:eastAsia="zh-CN"/>
              </w:rPr>
              <w:t>符合</w:t>
            </w:r>
          </w:p>
        </w:tc>
        <w:tc>
          <w:tcPr>
            <w:tcW w:w="372" w:type="pct"/>
            <w:vAlign w:val="center"/>
          </w:tcPr>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lang w:eastAsia="zh-CN"/>
              </w:rPr>
              <w:t>不符合</w:t>
            </w:r>
          </w:p>
        </w:tc>
        <w:tc>
          <w:tcPr>
            <w:tcW w:w="525" w:type="pct"/>
            <w:vAlign w:val="center"/>
          </w:tcPr>
          <w:p>
            <w:pPr>
              <w:widowControl/>
              <w:jc w:val="center"/>
              <w:rPr>
                <w:rFonts w:hint="eastAsia" w:ascii="仿宋_GB2312" w:hAnsi="宋体" w:eastAsia="仿宋_GB2312" w:cs="仿宋_GB2312"/>
                <w:b/>
                <w:bCs/>
                <w:color w:val="000000"/>
                <w:kern w:val="0"/>
                <w:sz w:val="24"/>
                <w:szCs w:val="24"/>
                <w:lang w:val="en-US" w:eastAsia="zh-CN" w:bidi="ar-SA"/>
              </w:rPr>
            </w:pPr>
            <w:r>
              <w:rPr>
                <w:rFonts w:hint="eastAsia" w:ascii="仿宋_GB2312" w:hAnsi="宋体" w:eastAsia="仿宋_GB2312" w:cs="仿宋_GB2312"/>
                <w:b/>
                <w:bCs/>
                <w:color w:val="000000"/>
                <w:kern w:val="0"/>
                <w:sz w:val="24"/>
                <w:szCs w:val="24"/>
                <w:lang w:eastAsia="zh-CN"/>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36" w:type="pct"/>
            <w:vAlign w:val="center"/>
          </w:tcPr>
          <w:p>
            <w:pPr>
              <w:widowControl/>
              <w:jc w:val="left"/>
              <w:rPr>
                <w:rFonts w:ascii="仿宋_GB2312" w:hAnsi="宋体" w:eastAsia="仿宋_GB2312"/>
                <w:color w:val="000000"/>
                <w:kern w:val="0"/>
              </w:rPr>
            </w:pPr>
          </w:p>
        </w:tc>
        <w:tc>
          <w:tcPr>
            <w:tcW w:w="2837" w:type="pct"/>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冷藏、冷冻柜（库）应设有可正确显示内部温度的测温装置</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3</w:t>
            </w:r>
            <w:r>
              <w:rPr>
                <w:rFonts w:hint="eastAsia" w:ascii="仿宋_GB2312" w:hAnsi="宋体" w:eastAsia="仿宋_GB2312" w:cs="仿宋_GB2312"/>
                <w:color w:val="000000"/>
                <w:kern w:val="0"/>
                <w:lang w:val="en-US" w:eastAsia="zh-CN"/>
              </w:rPr>
              <w:t>8</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36" w:type="pct"/>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w:t>
            </w:r>
            <w:r>
              <w:rPr>
                <w:rFonts w:hint="eastAsia" w:ascii="仿宋_GB2312" w:hAnsi="宋体" w:eastAsia="仿宋_GB2312" w:cs="仿宋_GB2312"/>
                <w:color w:val="000000"/>
                <w:kern w:val="0"/>
              </w:rPr>
              <w:t>2</w:t>
            </w:r>
            <w:r>
              <w:rPr>
                <w:rFonts w:ascii="仿宋_GB2312" w:hAnsi="宋体" w:eastAsia="仿宋_GB2312" w:cs="仿宋_GB2312"/>
                <w:color w:val="000000"/>
                <w:kern w:val="0"/>
              </w:rPr>
              <w:t>.</w:t>
            </w:r>
            <w:r>
              <w:rPr>
                <w:rFonts w:hint="eastAsia" w:ascii="仿宋_GB2312" w:hAnsi="宋体" w:eastAsia="仿宋_GB2312" w:cs="仿宋_GB2312"/>
                <w:color w:val="000000"/>
                <w:kern w:val="0"/>
              </w:rPr>
              <w:t>更衣室</w:t>
            </w:r>
          </w:p>
        </w:tc>
        <w:tc>
          <w:tcPr>
            <w:tcW w:w="2837" w:type="pct"/>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更衣场所与食品处理区处于同一建筑物内，更衣设施的数量应满足需要</w:t>
            </w:r>
          </w:p>
        </w:tc>
        <w:tc>
          <w:tcPr>
            <w:tcW w:w="301"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39</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restart"/>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13</w:t>
            </w:r>
            <w:r>
              <w:rPr>
                <w:rFonts w:ascii="仿宋_GB2312" w:hAnsi="宋体" w:eastAsia="仿宋_GB2312" w:cs="仿宋_GB2312"/>
                <w:color w:val="000000"/>
                <w:kern w:val="0"/>
              </w:rPr>
              <w:t>.</w:t>
            </w:r>
            <w:r>
              <w:rPr>
                <w:rFonts w:hint="eastAsia" w:ascii="仿宋_GB2312" w:hAnsi="宋体" w:eastAsia="仿宋_GB2312" w:cs="仿宋_GB2312"/>
                <w:color w:val="000000"/>
                <w:kern w:val="0"/>
              </w:rPr>
              <w:t>其他要求</w:t>
            </w:r>
          </w:p>
        </w:tc>
        <w:tc>
          <w:tcPr>
            <w:tcW w:w="2837"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通过采用透明玻璃窗(或玻璃幕墙)、视频显示、隔断矮墙或设置参观窗口等方式方法，将餐饮制售关键部位和环节进行展示</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4</w:t>
            </w:r>
            <w:r>
              <w:rPr>
                <w:rFonts w:hint="eastAsia" w:ascii="仿宋_GB2312" w:hAnsi="宋体" w:eastAsia="仿宋_GB2312" w:cs="仿宋_GB2312"/>
                <w:color w:val="000000"/>
                <w:kern w:val="0"/>
                <w:lang w:val="en-US" w:eastAsia="zh-CN"/>
              </w:rPr>
              <w:t>0</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FF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ascii="仿宋_GB2312" w:hAnsi="宋体" w:eastAsia="仿宋_GB2312" w:cs="仿宋_GB2312"/>
                <w:color w:val="000000"/>
                <w:kern w:val="0"/>
              </w:rPr>
            </w:pPr>
          </w:p>
        </w:tc>
        <w:tc>
          <w:tcPr>
            <w:tcW w:w="2837"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非食品处理区设置卫生间的，其出口不应与食品处理区直接连通，附近应当设置洗手、消毒、烘干设施</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ascii="仿宋_GB2312" w:hAnsi="宋体" w:eastAsia="仿宋_GB2312" w:cs="仿宋_GB2312"/>
                <w:color w:val="000000"/>
                <w:kern w:val="0"/>
              </w:rPr>
              <w:t>4</w:t>
            </w:r>
            <w:r>
              <w:rPr>
                <w:rFonts w:hint="eastAsia" w:ascii="仿宋_GB2312" w:hAnsi="宋体" w:eastAsia="仿宋_GB2312" w:cs="仿宋_GB2312"/>
                <w:color w:val="000000"/>
                <w:kern w:val="0"/>
                <w:lang w:val="en-US" w:eastAsia="zh-CN"/>
              </w:rPr>
              <w:t>1</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36" w:type="pct"/>
            <w:vMerge w:val="continue"/>
            <w:vAlign w:val="center"/>
          </w:tcPr>
          <w:p>
            <w:pPr>
              <w:widowControl/>
              <w:jc w:val="left"/>
              <w:rPr>
                <w:rFonts w:ascii="仿宋_GB2312" w:hAnsi="宋体" w:eastAsia="仿宋_GB2312" w:cs="仿宋_GB2312"/>
                <w:color w:val="000000"/>
                <w:kern w:val="0"/>
              </w:rPr>
            </w:pPr>
          </w:p>
        </w:tc>
        <w:tc>
          <w:tcPr>
            <w:tcW w:w="2837"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非食品处理区未设置卫生间的，就餐区应设置洗手、干手设施</w:t>
            </w:r>
          </w:p>
        </w:tc>
        <w:tc>
          <w:tcPr>
            <w:tcW w:w="301" w:type="pct"/>
            <w:vAlign w:val="center"/>
          </w:tcPr>
          <w:p>
            <w:pPr>
              <w:widowControl/>
              <w:snapToGrid w:val="0"/>
              <w:jc w:val="center"/>
              <w:rPr>
                <w:rFonts w:hint="eastAsia" w:ascii="仿宋_GB2312" w:hAnsi="宋体" w:eastAsia="仿宋_GB2312" w:cs="仿宋_GB2312"/>
                <w:color w:val="000000"/>
                <w:kern w:val="0"/>
                <w:lang w:eastAsia="zh-CN"/>
              </w:rPr>
            </w:pPr>
            <w:r>
              <w:rPr>
                <w:rFonts w:ascii="仿宋_GB2312" w:hAnsi="宋体" w:eastAsia="仿宋_GB2312"/>
                <w:color w:val="000000"/>
                <w:kern w:val="0"/>
              </w:rPr>
              <w:t>4</w:t>
            </w:r>
            <w:r>
              <w:rPr>
                <w:rFonts w:hint="eastAsia" w:ascii="仿宋_GB2312" w:hAnsi="宋体" w:eastAsia="仿宋_GB2312"/>
                <w:color w:val="000000"/>
                <w:kern w:val="0"/>
                <w:lang w:val="en-US" w:eastAsia="zh-CN"/>
              </w:rPr>
              <w:t>2</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restart"/>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14.制度</w:t>
            </w:r>
          </w:p>
        </w:tc>
        <w:tc>
          <w:tcPr>
            <w:tcW w:w="2837" w:type="pct"/>
            <w:vAlign w:val="center"/>
          </w:tcPr>
          <w:p>
            <w:pPr>
              <w:widowControl/>
              <w:rPr>
                <w:rFonts w:ascii="仿宋_GB2312" w:hAnsi="宋体" w:eastAsia="仿宋_GB2312" w:cs="仿宋_GB2312"/>
                <w:color w:val="000000"/>
                <w:kern w:val="0"/>
              </w:rPr>
            </w:pPr>
            <w:r>
              <w:rPr>
                <w:rFonts w:hint="eastAsia" w:ascii="仿宋_GB2312" w:hAnsi="宋体" w:eastAsia="仿宋_GB2312" w:cs="仿宋_GB2312"/>
                <w:kern w:val="0"/>
              </w:rPr>
              <w:t>制定与实际经营状况相符合的保证食品安全的规章制度并形成书面材料，主要制度内容至少包括从业人员健康管理制度、食品安全自查制度等</w:t>
            </w:r>
          </w:p>
        </w:tc>
        <w:tc>
          <w:tcPr>
            <w:tcW w:w="301" w:type="pct"/>
            <w:vAlign w:val="center"/>
          </w:tcPr>
          <w:p>
            <w:pPr>
              <w:widowControl/>
              <w:jc w:val="center"/>
              <w:rPr>
                <w:rFonts w:hint="eastAsia" w:ascii="仿宋_GB2312" w:hAnsi="宋体" w:eastAsia="仿宋_GB2312" w:cs="仿宋_GB2312"/>
                <w:color w:val="000000"/>
                <w:kern w:val="0"/>
                <w:lang w:eastAsia="zh-CN"/>
              </w:rPr>
            </w:pPr>
            <w:r>
              <w:rPr>
                <w:rFonts w:hint="eastAsia" w:ascii="仿宋_GB2312" w:hAnsi="宋体" w:eastAsia="仿宋_GB2312"/>
                <w:color w:val="000000"/>
                <w:kern w:val="0"/>
              </w:rPr>
              <w:t>4</w:t>
            </w:r>
            <w:r>
              <w:rPr>
                <w:rFonts w:hint="eastAsia" w:ascii="仿宋_GB2312" w:hAnsi="宋体" w:eastAsia="仿宋_GB2312"/>
                <w:color w:val="000000"/>
                <w:kern w:val="0"/>
                <w:lang w:val="en-US" w:eastAsia="zh-CN"/>
              </w:rPr>
              <w:t>3</w:t>
            </w:r>
          </w:p>
        </w:tc>
        <w:tc>
          <w:tcPr>
            <w:tcW w:w="333"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Merge w:val="continue"/>
            <w:vAlign w:val="center"/>
          </w:tcPr>
          <w:p>
            <w:pPr>
              <w:widowControl/>
              <w:jc w:val="left"/>
              <w:rPr>
                <w:rFonts w:hint="eastAsia" w:ascii="仿宋_GB2312" w:hAnsi="宋体" w:eastAsia="仿宋_GB2312" w:cs="仿宋_GB2312"/>
                <w:color w:val="000000"/>
                <w:kern w:val="0"/>
              </w:rPr>
            </w:pPr>
          </w:p>
        </w:tc>
        <w:tc>
          <w:tcPr>
            <w:tcW w:w="2837" w:type="pct"/>
            <w:vAlign w:val="center"/>
          </w:tcPr>
          <w:p>
            <w:pPr>
              <w:widowControl/>
              <w:adjustRightInd w:val="0"/>
              <w:snapToGrid w:val="0"/>
              <w:rPr>
                <w:rFonts w:hint="eastAsia" w:ascii="仿宋_GB2312" w:hAnsi="宋体" w:eastAsia="仿宋_GB2312" w:cs="仿宋_GB2312"/>
                <w:kern w:val="0"/>
              </w:rPr>
            </w:pPr>
            <w:r>
              <w:rPr>
                <w:rFonts w:hint="eastAsia" w:ascii="仿宋_GB2312" w:hAnsi="宋体" w:eastAsia="仿宋_GB2312" w:cs="仿宋_GB2312"/>
                <w:kern w:val="0"/>
              </w:rPr>
              <w:t>食品经营企业应当建立从业人员培训制度、食品进货查验记录制度、食品贮存管理制度、不合格食品处置制度、食品安全突发事件应急处置方案等</w:t>
            </w:r>
          </w:p>
        </w:tc>
        <w:tc>
          <w:tcPr>
            <w:tcW w:w="301" w:type="pct"/>
            <w:vAlign w:val="center"/>
          </w:tcPr>
          <w:p>
            <w:pPr>
              <w:widowControl/>
              <w:snapToGrid w:val="0"/>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44</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snapToGrid w:val="0"/>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napToGrid w:val="0"/>
              <w:ind w:firstLine="420" w:firstLineChars="200"/>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6" w:type="pct"/>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15.人员</w:t>
            </w:r>
          </w:p>
        </w:tc>
        <w:tc>
          <w:tcPr>
            <w:tcW w:w="2837" w:type="pct"/>
            <w:vAlign w:val="center"/>
          </w:tcPr>
          <w:p>
            <w:pPr>
              <w:widowControl/>
              <w:adjustRightInd w:val="0"/>
              <w:snapToGrid w:val="0"/>
              <w:rPr>
                <w:rFonts w:ascii="仿宋_GB2312" w:hAnsi="宋体" w:eastAsia="仿宋_GB2312" w:cs="仿宋_GB2312"/>
                <w:kern w:val="0"/>
              </w:rPr>
            </w:pPr>
            <w:r>
              <w:rPr>
                <w:rFonts w:hint="eastAsia" w:ascii="仿宋_GB2312" w:hAnsi="宋体" w:eastAsia="仿宋_GB2312" w:cs="仿宋_GB2312"/>
                <w:kern w:val="0"/>
                <w:lang w:val="zh-CN"/>
              </w:rPr>
              <w:t>食品经营单位应当配备专职或兼职食品安全总监、食品安全员等食品安全管理人员</w:t>
            </w:r>
          </w:p>
        </w:tc>
        <w:tc>
          <w:tcPr>
            <w:tcW w:w="301" w:type="pct"/>
            <w:vAlign w:val="center"/>
          </w:tcPr>
          <w:p>
            <w:pPr>
              <w:widowControl/>
              <w:snapToGrid w:val="0"/>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45</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72"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525" w:type="pct"/>
            <w:vAlign w:val="center"/>
          </w:tcPr>
          <w:p>
            <w:pPr>
              <w:widowControl/>
              <w:snapToGrid w:val="0"/>
              <w:ind w:firstLine="0" w:firstLineChars="0"/>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36" w:type="pct"/>
            <w:vAlign w:val="center"/>
          </w:tcPr>
          <w:p>
            <w:pPr>
              <w:widowControl/>
              <w:numPr>
                <w:ilvl w:val="-1"/>
                <w:numId w:val="0"/>
              </w:numPr>
              <w:jc w:val="left"/>
              <w:rPr>
                <w:rFonts w:hint="default" w:ascii="仿宋_GB2312" w:hAnsi="宋体" w:eastAsia="仿宋_GB2312" w:cs="仿宋_GB2312"/>
                <w:color w:val="000000"/>
                <w:kern w:val="0"/>
                <w:lang w:eastAsia="zh-CN"/>
              </w:rPr>
            </w:pPr>
            <w:r>
              <w:rPr>
                <w:rFonts w:hint="eastAsia" w:ascii="仿宋_GB2312" w:hAnsi="宋体" w:eastAsia="仿宋_GB2312" w:cs="仿宋_GB2312"/>
                <w:color w:val="000000"/>
                <w:kern w:val="0"/>
                <w:lang w:val="en-US" w:eastAsia="zh-CN"/>
              </w:rPr>
              <w:t>16.</w:t>
            </w:r>
            <w:r>
              <w:rPr>
                <w:rFonts w:hint="eastAsia" w:ascii="仿宋_GB2312" w:hAnsi="宋体" w:eastAsia="仿宋_GB2312" w:cs="仿宋_GB2312"/>
                <w:color w:val="000000"/>
                <w:kern w:val="0"/>
                <w:lang w:eastAsia="zh-CN"/>
              </w:rPr>
              <w:t>特殊要求</w:t>
            </w:r>
          </w:p>
        </w:tc>
        <w:tc>
          <w:tcPr>
            <w:tcW w:w="2837" w:type="pct"/>
            <w:vAlign w:val="center"/>
          </w:tcPr>
          <w:p>
            <w:pPr>
              <w:widowControl/>
              <w:adjustRightInd w:val="0"/>
              <w:snapToGrid w:val="0"/>
              <w:rPr>
                <w:rFonts w:hint="eastAsia" w:ascii="仿宋_GB2312" w:hAnsi="宋体" w:eastAsia="仿宋_GB2312" w:cs="仿宋_GB2312"/>
                <w:kern w:val="0"/>
                <w:lang w:val="zh-CN"/>
              </w:rPr>
            </w:pPr>
            <w:r>
              <w:rPr>
                <w:rFonts w:hint="eastAsia" w:ascii="仿宋_GB2312" w:hAnsi="宋体" w:eastAsia="仿宋_GB2312" w:cs="仿宋_GB2312"/>
                <w:color w:val="auto"/>
                <w:kern w:val="0"/>
                <w:sz w:val="21"/>
                <w:szCs w:val="20"/>
                <w:highlight w:val="none"/>
                <w:lang w:val="zh-CN" w:eastAsia="zh-CN"/>
              </w:rPr>
              <w:t>食品销售经营者</w:t>
            </w:r>
            <w:r>
              <w:rPr>
                <w:rFonts w:hint="eastAsia" w:ascii="仿宋_GB2312" w:hAnsi="宋体" w:eastAsia="仿宋_GB2312" w:cs="仿宋_GB2312"/>
                <w:kern w:val="0"/>
                <w:sz w:val="21"/>
                <w:szCs w:val="20"/>
                <w:lang w:val="zh-CN" w:eastAsia="zh-CN"/>
              </w:rPr>
              <w:t>对</w:t>
            </w:r>
            <w:r>
              <w:rPr>
                <w:rFonts w:hint="eastAsia" w:ascii="仿宋_GB2312" w:hAnsi="宋体" w:eastAsia="仿宋_GB2312" w:cs="仿宋_GB2312"/>
                <w:color w:val="auto"/>
                <w:kern w:val="0"/>
                <w:sz w:val="21"/>
                <w:szCs w:val="20"/>
                <w:highlight w:val="none"/>
                <w:lang w:val="zh-CN" w:eastAsia="zh-CN"/>
              </w:rPr>
              <w:t>原料进行初步或部分加工</w:t>
            </w:r>
            <w:r>
              <w:rPr>
                <w:rFonts w:hint="eastAsia" w:ascii="仿宋_GB2312" w:hAnsi="宋体" w:eastAsia="仿宋_GB2312" w:cs="仿宋_GB2312"/>
                <w:kern w:val="0"/>
                <w:sz w:val="21"/>
                <w:szCs w:val="20"/>
                <w:lang w:val="zh-CN" w:eastAsia="zh-CN"/>
              </w:rPr>
              <w:t>、</w:t>
            </w:r>
            <w:r>
              <w:rPr>
                <w:rFonts w:hint="eastAsia" w:ascii="仿宋_GB2312" w:hAnsi="宋体" w:eastAsia="仿宋_GB2312" w:cs="仿宋_GB2312"/>
                <w:color w:val="auto"/>
                <w:kern w:val="0"/>
                <w:sz w:val="21"/>
                <w:szCs w:val="20"/>
                <w:highlight w:val="none"/>
                <w:lang w:val="zh-CN" w:eastAsia="zh-CN"/>
              </w:rPr>
              <w:t>制作成非直接入口食品</w:t>
            </w:r>
            <w:r>
              <w:rPr>
                <w:rFonts w:hint="eastAsia" w:ascii="仿宋_GB2312" w:hAnsi="宋体" w:eastAsia="仿宋_GB2312" w:cs="仿宋_GB2312"/>
                <w:kern w:val="0"/>
                <w:sz w:val="21"/>
                <w:szCs w:val="20"/>
                <w:lang w:val="zh-CN" w:eastAsia="zh-CN"/>
              </w:rPr>
              <w:t>、</w:t>
            </w:r>
            <w:r>
              <w:rPr>
                <w:rFonts w:hint="eastAsia" w:ascii="仿宋_GB2312" w:hAnsi="宋体" w:eastAsia="仿宋_GB2312" w:cs="仿宋_GB2312"/>
                <w:color w:val="auto"/>
                <w:kern w:val="0"/>
                <w:sz w:val="21"/>
                <w:szCs w:val="20"/>
                <w:highlight w:val="none"/>
                <w:lang w:val="zh-CN" w:eastAsia="zh-CN"/>
              </w:rPr>
              <w:t>尚需消费者进一步加工熟制后食用的，如需对食品原料进行清洗，</w:t>
            </w:r>
            <w:r>
              <w:rPr>
                <w:rFonts w:hint="eastAsia" w:ascii="仿宋_GB2312" w:hAnsi="宋体" w:eastAsia="仿宋_GB2312" w:cs="仿宋_GB2312"/>
                <w:kern w:val="0"/>
                <w:sz w:val="21"/>
                <w:szCs w:val="20"/>
                <w:lang w:val="zh-CN" w:eastAsia="zh-CN"/>
              </w:rPr>
              <w:t>应</w:t>
            </w:r>
            <w:r>
              <w:rPr>
                <w:rFonts w:hint="eastAsia" w:ascii="仿宋_GB2312" w:hAnsi="宋体" w:eastAsia="仿宋_GB2312" w:cs="仿宋_GB2312"/>
                <w:color w:val="auto"/>
                <w:kern w:val="0"/>
                <w:sz w:val="21"/>
                <w:szCs w:val="20"/>
                <w:highlight w:val="none"/>
                <w:lang w:val="zh-CN" w:eastAsia="zh-CN"/>
              </w:rPr>
              <w:t>设置与加工品种相适应的食品原料清洗水池。</w:t>
            </w:r>
          </w:p>
        </w:tc>
        <w:tc>
          <w:tcPr>
            <w:tcW w:w="301" w:type="pct"/>
            <w:vAlign w:val="center"/>
          </w:tcPr>
          <w:p>
            <w:pPr>
              <w:widowControl/>
              <w:snapToGrid w:val="0"/>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46</w:t>
            </w:r>
          </w:p>
        </w:tc>
        <w:tc>
          <w:tcPr>
            <w:tcW w:w="333"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294" w:type="pct"/>
            <w:vAlign w:val="center"/>
          </w:tcPr>
          <w:p>
            <w:pPr>
              <w:widowControl/>
              <w:snapToGrid w:val="0"/>
              <w:jc w:val="center"/>
              <w:rPr>
                <w:rFonts w:hint="eastAsia" w:ascii="仿宋_GB2312" w:hAnsi="宋体" w:eastAsia="仿宋_GB2312" w:cs="仿宋_GB2312"/>
                <w:color w:val="000000"/>
                <w:kern w:val="0"/>
              </w:rPr>
            </w:pPr>
          </w:p>
        </w:tc>
        <w:tc>
          <w:tcPr>
            <w:tcW w:w="372" w:type="pct"/>
            <w:vAlign w:val="center"/>
          </w:tcPr>
          <w:p>
            <w:pPr>
              <w:widowControl/>
              <w:snapToGrid w:val="0"/>
              <w:jc w:val="center"/>
              <w:rPr>
                <w:rFonts w:hint="eastAsia" w:ascii="仿宋_GB2312" w:hAnsi="宋体" w:eastAsia="仿宋_GB2312" w:cs="仿宋_GB2312"/>
                <w:color w:val="000000"/>
                <w:kern w:val="0"/>
              </w:rPr>
            </w:pPr>
          </w:p>
        </w:tc>
        <w:tc>
          <w:tcPr>
            <w:tcW w:w="525" w:type="pct"/>
            <w:vAlign w:val="center"/>
          </w:tcPr>
          <w:p>
            <w:pPr>
              <w:widowControl/>
              <w:snapToGrid w:val="0"/>
              <w:ind w:firstLine="210" w:firstLineChars="100"/>
              <w:rPr>
                <w:rFonts w:hint="eastAsia" w:ascii="仿宋_GB2312" w:hAnsi="宋体" w:eastAsia="仿宋_GB2312" w:cs="仿宋_GB2312"/>
                <w:color w:val="000000"/>
                <w:kern w:val="0"/>
              </w:rPr>
            </w:pPr>
          </w:p>
        </w:tc>
      </w:tr>
    </w:tbl>
    <w:p>
      <w:pPr>
        <w:spacing w:after="156" w:afterLines="50"/>
        <w:rPr>
          <w:rFonts w:ascii="仿宋_GB2312" w:eastAsia="仿宋_GB2312"/>
          <w:color w:val="000000"/>
          <w:sz w:val="18"/>
          <w:szCs w:val="18"/>
        </w:rPr>
      </w:pPr>
    </w:p>
    <w:p>
      <w:pPr>
        <w:rPr>
          <w:rFonts w:ascii="仿宋_GB2312" w:eastAsia="仿宋_GB2312" w:cs="仿宋_GB2312"/>
          <w:color w:val="000000"/>
        </w:rPr>
      </w:pPr>
      <w:r>
        <w:rPr>
          <w:rFonts w:hint="eastAsia" w:ascii="仿宋_GB2312" w:eastAsia="仿宋_GB2312" w:cs="仿宋_GB2312"/>
          <w:color w:val="000000"/>
        </w:rPr>
        <w:t>说明：本表共4</w:t>
      </w:r>
      <w:r>
        <w:rPr>
          <w:rFonts w:hint="eastAsia" w:ascii="仿宋_GB2312" w:eastAsia="仿宋_GB2312" w:cs="仿宋_GB2312"/>
          <w:color w:val="000000"/>
          <w:lang w:val="en-US" w:eastAsia="zh-CN"/>
        </w:rPr>
        <w:t>6</w:t>
      </w:r>
      <w:r>
        <w:rPr>
          <w:rFonts w:hint="eastAsia" w:ascii="仿宋_GB2312" w:eastAsia="仿宋_GB2312" w:cs="仿宋_GB2312"/>
          <w:color w:val="000000"/>
        </w:rPr>
        <w:t>项，其中重点项2</w:t>
      </w:r>
      <w:r>
        <w:rPr>
          <w:rFonts w:hint="eastAsia" w:ascii="仿宋_GB2312" w:eastAsia="仿宋_GB2312" w:cs="仿宋_GB2312"/>
          <w:color w:val="000000"/>
          <w:lang w:val="en-US" w:eastAsia="zh-CN"/>
        </w:rPr>
        <w:t>3</w:t>
      </w:r>
      <w:r>
        <w:rPr>
          <w:rFonts w:hint="eastAsia" w:ascii="仿宋_GB2312" w:eastAsia="仿宋_GB2312" w:cs="仿宋_GB2312"/>
          <w:color w:val="000000"/>
        </w:rPr>
        <w:t>项，一般项2</w:t>
      </w:r>
      <w:r>
        <w:rPr>
          <w:rFonts w:ascii="仿宋_GB2312" w:eastAsia="仿宋_GB2312" w:cs="仿宋_GB2312"/>
          <w:color w:val="000000"/>
        </w:rPr>
        <w:t>3</w:t>
      </w:r>
      <w:r>
        <w:rPr>
          <w:rFonts w:hint="eastAsia" w:ascii="仿宋_GB2312" w:eastAsia="仿宋_GB2312" w:cs="仿宋_GB2312"/>
          <w:color w:val="000000"/>
        </w:rPr>
        <w:t>项。</w:t>
      </w:r>
      <w:r>
        <w:rPr>
          <w:rFonts w:ascii="仿宋_GB2312" w:eastAsia="仿宋_GB2312" w:cs="仿宋_GB2312"/>
          <w:color w:val="000000"/>
        </w:rPr>
        <w:t>**</w:t>
      </w:r>
      <w:r>
        <w:rPr>
          <w:rFonts w:hint="eastAsia" w:ascii="仿宋_GB2312" w:eastAsia="仿宋_GB2312" w:cs="仿宋_GB2312"/>
          <w:color w:val="000000"/>
        </w:rPr>
        <w:t>表示重点项，</w:t>
      </w:r>
      <w:r>
        <w:rPr>
          <w:rFonts w:ascii="仿宋_GB2312" w:eastAsia="仿宋_GB2312" w:cs="仿宋_GB2312"/>
          <w:color w:val="000000"/>
        </w:rPr>
        <w:t>*</w:t>
      </w:r>
      <w:r>
        <w:rPr>
          <w:rFonts w:hint="eastAsia" w:ascii="仿宋_GB2312" w:eastAsia="仿宋_GB2312" w:cs="仿宋_GB2312"/>
          <w:color w:val="000000"/>
        </w:rPr>
        <w:t>为一般项。判定原则：重点项必须全部符合，一般项符合数</w:t>
      </w:r>
      <w:r>
        <w:rPr>
          <w:rFonts w:hint="eastAsia" w:ascii="仿宋" w:hAnsi="仿宋" w:eastAsia="仿宋" w:cs="仿宋_GB2312"/>
          <w:color w:val="000000"/>
        </w:rPr>
        <w:t>≥</w:t>
      </w:r>
      <w:r>
        <w:rPr>
          <w:rFonts w:hint="eastAsia" w:ascii="仿宋_GB2312" w:eastAsia="仿宋_GB2312" w:cs="仿宋_GB2312"/>
          <w:color w:val="000000"/>
        </w:rPr>
        <w:t>所勾选一般项的7</w:t>
      </w:r>
      <w:r>
        <w:rPr>
          <w:rFonts w:ascii="仿宋_GB2312" w:eastAsia="仿宋_GB2312" w:cs="仿宋_GB2312"/>
          <w:color w:val="000000"/>
        </w:rPr>
        <w:t>0%</w:t>
      </w:r>
    </w:p>
    <w:p>
      <w:pPr>
        <w:pStyle w:val="2"/>
      </w:pPr>
    </w:p>
    <w:p>
      <w:pPr>
        <w:keepNext w:val="0"/>
        <w:keepLines w:val="0"/>
        <w:pageBreakBefore w:val="0"/>
        <w:widowControl w:val="0"/>
        <w:tabs>
          <w:tab w:val="left" w:pos="1680"/>
        </w:tabs>
        <w:kinsoku/>
        <w:wordWrap/>
        <w:overflowPunct/>
        <w:topLinePunct w:val="0"/>
        <w:autoSpaceDE/>
        <w:autoSpaceDN/>
        <w:bidi w:val="0"/>
        <w:adjustRightInd/>
        <w:snapToGrid/>
        <w:spacing w:line="560" w:lineRule="exact"/>
        <w:jc w:val="center"/>
        <w:textAlignment w:val="auto"/>
        <w:rPr>
          <w:rFonts w:hint="eastAsia" w:ascii="宋体" w:hAnsi="宋体" w:cs="仿宋_GB2312"/>
          <w:b/>
          <w:bCs/>
          <w:color w:val="000000"/>
          <w:kern w:val="0"/>
          <w:sz w:val="28"/>
          <w:szCs w:val="28"/>
        </w:rPr>
        <w:sectPr>
          <w:headerReference r:id="rId6" w:type="even"/>
          <w:footerReference r:id="rId7" w:type="even"/>
          <w:pgSz w:w="16838" w:h="11906" w:orient="landscape"/>
          <w:pgMar w:top="1587" w:right="2098" w:bottom="1474" w:left="1984"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黑体" w:hAnsi="宋体" w:eastAsia="黑体" w:cs="宋体"/>
          <w:bCs/>
          <w:color w:val="000000"/>
          <w:kern w:val="0"/>
          <w:sz w:val="36"/>
          <w:szCs w:val="36"/>
        </w:rPr>
        <w:t>食品经营许可（简单制售）现场核查意见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仿宋_GB2312"/>
          <w:b/>
          <w:bCs/>
          <w:color w:val="000000"/>
          <w:kern w:val="0"/>
          <w:sz w:val="28"/>
          <w:szCs w:val="28"/>
        </w:rPr>
        <w:sectPr>
          <w:type w:val="continuous"/>
          <w:pgSz w:w="16838" w:h="11906" w:orient="landscape"/>
          <w:pgMar w:top="1587" w:right="2098" w:bottom="1474" w:left="1984" w:header="851" w:footer="992" w:gutter="0"/>
          <w:pgBorders>
            <w:top w:val="none" w:sz="0" w:space="0"/>
            <w:left w:val="none" w:sz="0" w:space="0"/>
            <w:bottom w:val="none" w:sz="0" w:space="0"/>
            <w:right w:val="none" w:sz="0" w:space="0"/>
          </w:pgBorders>
          <w:cols w:equalWidth="0" w:num="2">
            <w:col w:w="6165" w:space="425"/>
            <w:col w:w="6165"/>
          </w:cols>
          <w:docGrid w:type="lines" w:linePitch="312" w:charSpace="0"/>
        </w:sectPr>
      </w:pPr>
    </w:p>
    <w:p>
      <w:pPr>
        <w:spacing w:after="312" w:afterLines="100" w:line="360" w:lineRule="auto"/>
        <w:rPr>
          <w:rFonts w:ascii="宋体" w:hAnsi="宋体" w:cs="宋体"/>
          <w:bCs/>
          <w:color w:val="000000"/>
          <w:kern w:val="0"/>
          <w:sz w:val="28"/>
          <w:szCs w:val="28"/>
        </w:rPr>
      </w:pPr>
      <w:r>
        <w:rPr>
          <w:rFonts w:hint="eastAsia" w:ascii="宋体" w:hAnsi="宋体" w:cs="仿宋_GB2312"/>
          <w:b/>
          <w:bCs/>
          <w:color w:val="000000"/>
          <w:kern w:val="0"/>
          <w:sz w:val="28"/>
          <w:szCs w:val="28"/>
        </w:rPr>
        <w:t>单位名称：</w:t>
      </w:r>
    </w:p>
    <w:p>
      <w:pPr>
        <w:spacing w:line="280" w:lineRule="exact"/>
        <w:ind w:firstLine="437"/>
        <w:rPr>
          <w:rFonts w:ascii="宋体" w:hAnsi="宋体"/>
          <w:color w:val="000000"/>
        </w:rPr>
      </w:pPr>
      <w:r>
        <w:rPr>
          <w:rFonts w:hint="eastAsia" w:ascii="宋体" w:hAnsi="宋体"/>
          <w:color w:val="000000"/>
        </w:rPr>
        <w:t>经现场核查，该单位餐饮服务经营场所</w:t>
      </w:r>
      <w:r>
        <w:rPr>
          <w:rFonts w:hint="eastAsia" w:ascii="宋体" w:hAnsi="宋体"/>
          <w:color w:val="000000"/>
          <w:lang w:eastAsia="zh-CN"/>
        </w:rPr>
        <w:t>（或食品经营场所）</w:t>
      </w:r>
      <w:r>
        <w:rPr>
          <w:rFonts w:hint="eastAsia" w:ascii="宋体" w:hAnsi="宋体"/>
          <w:color w:val="000000"/>
        </w:rPr>
        <w:t>总面积</w:t>
      </w:r>
      <w:r>
        <w:rPr>
          <w:rFonts w:hint="eastAsia" w:ascii="宋体" w:hAnsi="宋体"/>
          <w:color w:val="000000"/>
          <w:u w:val="single"/>
        </w:rPr>
        <w:t xml:space="preserve">       </w:t>
      </w:r>
      <w:r>
        <w:rPr>
          <w:rFonts w:ascii="宋体" w:hAnsi="宋体"/>
          <w:color w:val="000000"/>
          <w:lang w:val="en"/>
        </w:rPr>
        <w:t>m</w:t>
      </w:r>
      <w:r>
        <w:rPr>
          <w:rFonts w:ascii="宋体" w:hAnsi="宋体"/>
          <w:color w:val="000000"/>
          <w:vertAlign w:val="superscript"/>
        </w:rPr>
        <w:t>2</w:t>
      </w:r>
      <w:r>
        <w:rPr>
          <w:rFonts w:hint="eastAsia" w:ascii="宋体" w:hAnsi="宋体"/>
          <w:color w:val="000000"/>
        </w:rPr>
        <w:t xml:space="preserve">，其中食品处理区面积 </w:t>
      </w:r>
      <w:r>
        <w:rPr>
          <w:rFonts w:hint="eastAsia" w:ascii="宋体" w:hAnsi="宋体"/>
          <w:color w:val="000000"/>
          <w:u w:val="single"/>
        </w:rPr>
        <w:t xml:space="preserve">      </w:t>
      </w:r>
      <w:r>
        <w:rPr>
          <w:rFonts w:ascii="宋体" w:hAnsi="宋体"/>
          <w:color w:val="000000"/>
          <w:lang w:val="en"/>
        </w:rPr>
        <w:t>m</w:t>
      </w:r>
      <w:r>
        <w:rPr>
          <w:rFonts w:ascii="宋体" w:hAnsi="宋体"/>
          <w:color w:val="000000"/>
          <w:vertAlign w:val="superscript"/>
        </w:rPr>
        <w:t>2</w:t>
      </w:r>
      <w:r>
        <w:rPr>
          <w:rFonts w:hint="eastAsia" w:ascii="宋体" w:hAnsi="宋体"/>
          <w:color w:val="000000"/>
        </w:rPr>
        <w:t xml:space="preserve">，库房 </w:t>
      </w:r>
      <w:r>
        <w:rPr>
          <w:rFonts w:hint="eastAsia" w:ascii="宋体" w:hAnsi="宋体"/>
          <w:color w:val="000000"/>
          <w:u w:val="single"/>
        </w:rPr>
        <w:t xml:space="preserve">        </w:t>
      </w:r>
      <w:r>
        <w:rPr>
          <w:rFonts w:ascii="宋体" w:hAnsi="宋体"/>
          <w:color w:val="000000"/>
          <w:lang w:val="en"/>
        </w:rPr>
        <w:t>m</w:t>
      </w:r>
      <w:r>
        <w:rPr>
          <w:rFonts w:ascii="宋体" w:hAnsi="宋体"/>
          <w:color w:val="000000"/>
          <w:vertAlign w:val="superscript"/>
        </w:rPr>
        <w:t>2</w:t>
      </w:r>
      <w:r>
        <w:rPr>
          <w:rFonts w:hint="eastAsia" w:ascii="宋体" w:hAnsi="宋体"/>
          <w:color w:val="000000"/>
        </w:rPr>
        <w:t>。</w:t>
      </w:r>
    </w:p>
    <w:p>
      <w:pPr>
        <w:spacing w:line="280" w:lineRule="exact"/>
        <w:ind w:firstLine="435"/>
        <w:rPr>
          <w:rFonts w:ascii="宋体" w:hAnsi="宋体"/>
          <w:color w:val="000000"/>
        </w:rPr>
      </w:pPr>
      <w:r>
        <w:rPr>
          <w:rFonts w:hint="eastAsia" w:ascii="宋体" w:hAnsi="宋体"/>
          <w:color w:val="000000"/>
        </w:rPr>
        <w:t>现场情况核查结果如下：</w:t>
      </w:r>
    </w:p>
    <w:p>
      <w:pPr>
        <w:spacing w:line="280" w:lineRule="exact"/>
        <w:ind w:firstLine="435"/>
        <w:rPr>
          <w:rFonts w:ascii="宋体" w:hAnsi="宋体"/>
          <w:color w:val="000000"/>
        </w:rPr>
      </w:pPr>
    </w:p>
    <w:tbl>
      <w:tblPr>
        <w:tblStyle w:val="6"/>
        <w:tblpPr w:leftFromText="180" w:rightFromText="180" w:vertAnchor="text" w:horzAnchor="page" w:tblpX="1850" w:tblpY="-24"/>
        <w:tblW w:w="5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967"/>
        <w:gridCol w:w="867"/>
        <w:gridCol w:w="795"/>
        <w:gridCol w:w="805"/>
        <w:gridCol w:w="1183"/>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54" w:type="dxa"/>
            <w:gridSpan w:val="2"/>
            <w:vMerge w:val="restart"/>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核查类别</w:t>
            </w:r>
          </w:p>
        </w:tc>
        <w:tc>
          <w:tcPr>
            <w:tcW w:w="3650" w:type="dxa"/>
            <w:gridSpan w:val="4"/>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核查结果</w:t>
            </w:r>
          </w:p>
        </w:tc>
        <w:tc>
          <w:tcPr>
            <w:tcW w:w="759" w:type="dxa"/>
            <w:vMerge w:val="restart"/>
            <w:vAlign w:val="center"/>
          </w:tcPr>
          <w:p>
            <w:pPr>
              <w:jc w:val="center"/>
              <w:rPr>
                <w:rFonts w:hint="eastAsia"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是否</w:t>
            </w:r>
          </w:p>
          <w:p>
            <w:pPr>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54" w:type="dxa"/>
            <w:gridSpan w:val="2"/>
            <w:vMerge w:val="continue"/>
            <w:vAlign w:val="center"/>
          </w:tcPr>
          <w:p>
            <w:pPr>
              <w:jc w:val="center"/>
              <w:rPr>
                <w:rFonts w:ascii="仿宋_GB2312" w:hAnsi="宋体" w:eastAsia="仿宋_GB2312" w:cs="宋体"/>
                <w:color w:val="000000"/>
                <w:kern w:val="0"/>
                <w:sz w:val="18"/>
                <w:szCs w:val="18"/>
              </w:rPr>
            </w:pPr>
          </w:p>
        </w:tc>
        <w:tc>
          <w:tcPr>
            <w:tcW w:w="867" w:type="dxa"/>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重点项</w:t>
            </w:r>
          </w:p>
        </w:tc>
        <w:tc>
          <w:tcPr>
            <w:tcW w:w="2783" w:type="dxa"/>
            <w:gridSpan w:val="3"/>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一般项</w:t>
            </w:r>
          </w:p>
        </w:tc>
        <w:tc>
          <w:tcPr>
            <w:tcW w:w="759" w:type="dxa"/>
            <w:vMerge w:val="continue"/>
          </w:tcPr>
          <w:p>
            <w:pPr>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4" w:type="dxa"/>
            <w:gridSpan w:val="2"/>
            <w:vMerge w:val="restart"/>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一般要求</w:t>
            </w:r>
          </w:p>
        </w:tc>
        <w:tc>
          <w:tcPr>
            <w:tcW w:w="867" w:type="dxa"/>
          </w:tcPr>
          <w:p>
            <w:pPr>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不合格项</w:t>
            </w:r>
          </w:p>
        </w:tc>
        <w:tc>
          <w:tcPr>
            <w:tcW w:w="795" w:type="dxa"/>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勾选项 </w:t>
            </w:r>
          </w:p>
        </w:tc>
        <w:tc>
          <w:tcPr>
            <w:tcW w:w="805" w:type="dxa"/>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符合项</w:t>
            </w:r>
          </w:p>
        </w:tc>
        <w:tc>
          <w:tcPr>
            <w:tcW w:w="1183" w:type="dxa"/>
          </w:tcPr>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符合项/勾选项（%） </w:t>
            </w:r>
          </w:p>
        </w:tc>
        <w:tc>
          <w:tcPr>
            <w:tcW w:w="759" w:type="dxa"/>
            <w:vMerge w:val="restart"/>
          </w:tcPr>
          <w:p>
            <w:pPr>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54" w:type="dxa"/>
            <w:gridSpan w:val="2"/>
            <w:vMerge w:val="continue"/>
            <w:vAlign w:val="center"/>
          </w:tcPr>
          <w:p>
            <w:pPr>
              <w:jc w:val="center"/>
              <w:rPr>
                <w:rFonts w:ascii="仿宋_GB2312" w:hAnsi="宋体" w:eastAsia="仿宋_GB2312" w:cs="宋体"/>
                <w:color w:val="000000"/>
                <w:kern w:val="0"/>
                <w:sz w:val="18"/>
                <w:szCs w:val="18"/>
              </w:rPr>
            </w:pPr>
          </w:p>
        </w:tc>
        <w:tc>
          <w:tcPr>
            <w:tcW w:w="867" w:type="dxa"/>
          </w:tcPr>
          <w:p>
            <w:pPr>
              <w:jc w:val="center"/>
              <w:rPr>
                <w:rFonts w:ascii="仿宋_GB2312" w:hAnsi="宋体" w:eastAsia="仿宋_GB2312" w:cs="宋体"/>
                <w:color w:val="000000"/>
                <w:kern w:val="0"/>
                <w:sz w:val="18"/>
                <w:szCs w:val="18"/>
              </w:rPr>
            </w:pPr>
          </w:p>
        </w:tc>
        <w:tc>
          <w:tcPr>
            <w:tcW w:w="795" w:type="dxa"/>
          </w:tcPr>
          <w:p>
            <w:pPr>
              <w:jc w:val="center"/>
              <w:rPr>
                <w:rFonts w:ascii="仿宋_GB2312" w:hAnsi="宋体" w:eastAsia="仿宋_GB2312" w:cs="宋体"/>
                <w:color w:val="000000"/>
                <w:kern w:val="0"/>
                <w:sz w:val="18"/>
                <w:szCs w:val="18"/>
              </w:rPr>
            </w:pPr>
          </w:p>
        </w:tc>
        <w:tc>
          <w:tcPr>
            <w:tcW w:w="805" w:type="dxa"/>
          </w:tcPr>
          <w:p>
            <w:pPr>
              <w:jc w:val="center"/>
              <w:rPr>
                <w:rFonts w:ascii="仿宋_GB2312" w:hAnsi="宋体" w:eastAsia="仿宋_GB2312" w:cs="宋体"/>
                <w:color w:val="000000"/>
                <w:kern w:val="0"/>
                <w:sz w:val="18"/>
                <w:szCs w:val="18"/>
              </w:rPr>
            </w:pPr>
          </w:p>
        </w:tc>
        <w:tc>
          <w:tcPr>
            <w:tcW w:w="1183" w:type="dxa"/>
          </w:tcPr>
          <w:p>
            <w:pPr>
              <w:jc w:val="center"/>
              <w:rPr>
                <w:rFonts w:ascii="仿宋_GB2312" w:hAnsi="宋体" w:eastAsia="仿宋_GB2312" w:cs="宋体"/>
                <w:color w:val="000000"/>
                <w:kern w:val="0"/>
                <w:sz w:val="18"/>
                <w:szCs w:val="18"/>
              </w:rPr>
            </w:pPr>
          </w:p>
        </w:tc>
        <w:tc>
          <w:tcPr>
            <w:tcW w:w="759" w:type="dxa"/>
            <w:vMerge w:val="continue"/>
          </w:tcPr>
          <w:p>
            <w:pPr>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87" w:type="dxa"/>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专用场所</w:t>
            </w:r>
          </w:p>
        </w:tc>
        <w:tc>
          <w:tcPr>
            <w:tcW w:w="967" w:type="dxa"/>
            <w:vAlign w:val="center"/>
          </w:tcPr>
          <w:p>
            <w:pPr>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冷食</w:t>
            </w:r>
            <w:r>
              <w:rPr>
                <w:rFonts w:ascii="仿宋_GB2312" w:hAnsi="宋体" w:eastAsia="仿宋_GB2312" w:cs="宋体"/>
                <w:color w:val="000000"/>
                <w:kern w:val="0"/>
                <w:sz w:val="18"/>
                <w:szCs w:val="18"/>
              </w:rPr>
              <w:t>类简单制售</w:t>
            </w:r>
          </w:p>
        </w:tc>
        <w:tc>
          <w:tcPr>
            <w:tcW w:w="867" w:type="dxa"/>
          </w:tcPr>
          <w:p>
            <w:pPr>
              <w:jc w:val="center"/>
              <w:rPr>
                <w:rFonts w:ascii="仿宋_GB2312" w:hAnsi="宋体" w:eastAsia="仿宋_GB2312" w:cs="宋体"/>
                <w:color w:val="000000"/>
                <w:kern w:val="0"/>
                <w:sz w:val="18"/>
                <w:szCs w:val="18"/>
              </w:rPr>
            </w:pPr>
          </w:p>
        </w:tc>
        <w:tc>
          <w:tcPr>
            <w:tcW w:w="2783" w:type="dxa"/>
            <w:gridSpan w:val="3"/>
          </w:tcPr>
          <w:p>
            <w:pPr>
              <w:jc w:val="center"/>
              <w:rPr>
                <w:rFonts w:ascii="仿宋_GB2312" w:hAnsi="宋体" w:eastAsia="仿宋_GB2312" w:cs="宋体"/>
                <w:color w:val="000000"/>
                <w:kern w:val="0"/>
                <w:sz w:val="18"/>
                <w:szCs w:val="18"/>
              </w:rPr>
            </w:pPr>
          </w:p>
        </w:tc>
        <w:tc>
          <w:tcPr>
            <w:tcW w:w="759" w:type="dxa"/>
          </w:tcPr>
          <w:p>
            <w:pPr>
              <w:jc w:val="center"/>
              <w:rPr>
                <w:rFonts w:ascii="仿宋_GB2312" w:hAnsi="宋体" w:eastAsia="仿宋_GB2312" w:cs="宋体"/>
                <w:color w:val="000000"/>
                <w:kern w:val="0"/>
                <w:sz w:val="18"/>
                <w:szCs w:val="18"/>
              </w:rPr>
            </w:pPr>
          </w:p>
        </w:tc>
      </w:tr>
    </w:tbl>
    <w:p>
      <w:pPr>
        <w:spacing w:line="280" w:lineRule="exact"/>
        <w:rPr>
          <w:rFonts w:ascii="宋体" w:hAnsi="宋体"/>
          <w:color w:val="000000"/>
        </w:rPr>
      </w:pPr>
    </w:p>
    <w:p>
      <w:pPr>
        <w:spacing w:line="280" w:lineRule="exact"/>
        <w:ind w:firstLine="435"/>
        <w:rPr>
          <w:rFonts w:ascii="宋体" w:hAnsi="宋体"/>
          <w:color w:val="000000"/>
        </w:rPr>
      </w:pPr>
    </w:p>
    <w:p>
      <w:pPr>
        <w:spacing w:line="280" w:lineRule="exact"/>
        <w:ind w:firstLine="435"/>
        <w:rPr>
          <w:rFonts w:ascii="宋体" w:hAnsi="宋体"/>
          <w:color w:val="000000"/>
        </w:rPr>
      </w:pPr>
    </w:p>
    <w:p>
      <w:pPr>
        <w:spacing w:line="280" w:lineRule="exact"/>
        <w:ind w:firstLine="435"/>
        <w:rPr>
          <w:rFonts w:ascii="宋体" w:hAnsi="宋体"/>
          <w:color w:val="000000"/>
        </w:rPr>
      </w:pPr>
    </w:p>
    <w:p>
      <w:pPr>
        <w:pStyle w:val="2"/>
        <w:ind w:firstLine="600"/>
      </w:pPr>
    </w:p>
    <w:p>
      <w:pPr>
        <w:pStyle w:val="2"/>
        <w:ind w:firstLine="600"/>
      </w:pPr>
    </w:p>
    <w:p>
      <w:pPr>
        <w:pStyle w:val="2"/>
        <w:ind w:firstLine="600"/>
      </w:pPr>
    </w:p>
    <w:p>
      <w:pPr>
        <w:spacing w:line="280" w:lineRule="exact"/>
        <w:ind w:firstLine="435"/>
        <w:rPr>
          <w:rFonts w:ascii="宋体" w:hAnsi="宋体"/>
          <w:b w:val="0"/>
          <w:bCs w:val="0"/>
          <w:color w:val="000000"/>
        </w:rPr>
      </w:pPr>
      <w:r>
        <w:rPr>
          <w:rFonts w:hint="eastAsia" w:ascii="宋体" w:hAnsi="宋体"/>
          <w:b w:val="0"/>
          <w:bCs w:val="0"/>
          <w:color w:val="000000"/>
        </w:rPr>
        <w:t>现场核查结论：该单位现场设备、设施符合以下主体业态和经营项目的基本食品安全要求：</w:t>
      </w:r>
    </w:p>
    <w:p>
      <w:pPr>
        <w:spacing w:line="280" w:lineRule="exact"/>
        <w:jc w:val="left"/>
        <w:rPr>
          <w:rFonts w:ascii="宋体" w:hAnsi="宋体"/>
          <w:b w:val="0"/>
          <w:bCs w:val="0"/>
        </w:rPr>
      </w:pPr>
      <w:r>
        <w:rPr>
          <w:rFonts w:ascii="宋体" w:hAnsi="宋体"/>
          <w:b w:val="0"/>
          <w:bCs w:val="0"/>
        </w:rPr>
        <w:t>1</w:t>
      </w:r>
      <w:r>
        <w:rPr>
          <w:rFonts w:hint="eastAsia" w:ascii="宋体" w:hAnsi="宋体"/>
          <w:b w:val="0"/>
          <w:bCs w:val="0"/>
        </w:rPr>
        <w:t>.主体业态及经营形式：</w:t>
      </w:r>
    </w:p>
    <w:p>
      <w:pPr>
        <w:spacing w:line="280" w:lineRule="exact"/>
        <w:jc w:val="left"/>
        <w:rPr>
          <w:rFonts w:ascii="宋体" w:hAnsi="宋体"/>
          <w:b w:val="0"/>
          <w:bCs w:val="0"/>
        </w:rPr>
      </w:pPr>
      <w:r>
        <w:rPr>
          <w:rFonts w:hint="eastAsia" w:ascii="宋体" w:hAnsi="宋体"/>
          <w:b w:val="0"/>
          <w:bCs w:val="0"/>
        </w:rPr>
        <w:t>□食品销售经营者</w:t>
      </w:r>
    </w:p>
    <w:p>
      <w:pPr>
        <w:spacing w:line="280" w:lineRule="exact"/>
        <w:jc w:val="left"/>
        <w:rPr>
          <w:rFonts w:ascii="宋体" w:hAnsi="宋体"/>
          <w:b w:val="0"/>
          <w:bCs w:val="0"/>
        </w:rPr>
      </w:pPr>
      <w:r>
        <w:rPr>
          <w:rFonts w:hint="eastAsia" w:ascii="宋体" w:hAnsi="宋体"/>
          <w:b w:val="0"/>
          <w:bCs w:val="0"/>
        </w:rPr>
        <w:t xml:space="preserve">（□商场超市□便利店□食杂店□食品贸易商) </w:t>
      </w:r>
    </w:p>
    <w:p>
      <w:pPr>
        <w:spacing w:line="280" w:lineRule="exact"/>
        <w:jc w:val="left"/>
        <w:rPr>
          <w:rFonts w:ascii="宋体" w:hAnsi="宋体"/>
          <w:b w:val="0"/>
          <w:bCs w:val="0"/>
        </w:rPr>
      </w:pPr>
      <w:r>
        <w:rPr>
          <w:rFonts w:hint="eastAsia" w:ascii="宋体" w:hAnsi="宋体"/>
          <w:b w:val="0"/>
          <w:bCs w:val="0"/>
        </w:rPr>
        <w:t>□餐饮服务经营者</w:t>
      </w:r>
    </w:p>
    <w:p>
      <w:pPr>
        <w:spacing w:line="280" w:lineRule="exact"/>
        <w:jc w:val="left"/>
        <w:rPr>
          <w:rFonts w:ascii="宋体" w:hAnsi="宋体"/>
          <w:b w:val="0"/>
          <w:bCs w:val="0"/>
        </w:rPr>
      </w:pPr>
      <w:r>
        <w:rPr>
          <w:rFonts w:hint="eastAsia" w:ascii="宋体" w:hAnsi="宋体"/>
          <w:b w:val="0"/>
          <w:bCs w:val="0"/>
        </w:rPr>
        <w:t>普通餐饮：（□</w:t>
      </w:r>
      <w:r>
        <w:rPr>
          <w:rFonts w:hint="eastAsia" w:ascii="宋体" w:hAnsi="宋体"/>
          <w:b w:val="0"/>
          <w:bCs w:val="0"/>
          <w:lang w:eastAsia="zh-CN"/>
        </w:rPr>
        <w:t>中</w:t>
      </w:r>
      <w:r>
        <w:rPr>
          <w:rFonts w:hint="eastAsia" w:ascii="宋体" w:hAnsi="宋体"/>
          <w:b w:val="0"/>
          <w:bCs w:val="0"/>
        </w:rPr>
        <w:t xml:space="preserve">型餐饮□小型餐饮□微型餐饮) </w:t>
      </w:r>
    </w:p>
    <w:p>
      <w:pPr>
        <w:spacing w:line="280" w:lineRule="exact"/>
        <w:jc w:val="left"/>
        <w:rPr>
          <w:rFonts w:ascii="宋体" w:hAnsi="宋体"/>
          <w:b w:val="0"/>
          <w:bCs w:val="0"/>
        </w:rPr>
      </w:pPr>
      <w:r>
        <w:rPr>
          <w:rFonts w:hint="eastAsia" w:ascii="宋体" w:hAnsi="宋体"/>
          <w:b w:val="0"/>
          <w:bCs w:val="0"/>
        </w:rPr>
        <w:t xml:space="preserve"> 备注：□从事食品批发销售</w:t>
      </w:r>
    </w:p>
    <w:p>
      <w:pPr>
        <w:spacing w:line="280" w:lineRule="exact"/>
        <w:ind w:firstLine="735" w:firstLineChars="350"/>
        <w:jc w:val="left"/>
        <w:rPr>
          <w:rFonts w:ascii="宋体" w:hAnsi="宋体"/>
          <w:b w:val="0"/>
          <w:bCs w:val="0"/>
        </w:rPr>
      </w:pPr>
      <w:r>
        <w:rPr>
          <w:rFonts w:hint="eastAsia" w:ascii="宋体" w:hAnsi="宋体"/>
          <w:b w:val="0"/>
          <w:bCs w:val="0"/>
        </w:rPr>
        <w:sym w:font="Wingdings 2" w:char="00A3"/>
      </w:r>
      <w:r>
        <w:rPr>
          <w:rFonts w:hint="eastAsia" w:ascii="宋体" w:hAnsi="宋体"/>
          <w:b w:val="0"/>
          <w:bCs w:val="0"/>
        </w:rPr>
        <w:t>利用自动设备从事食品经营</w:t>
      </w:r>
    </w:p>
    <w:p>
      <w:pPr>
        <w:spacing w:line="280" w:lineRule="exact"/>
        <w:rPr>
          <w:rFonts w:ascii="宋体" w:hAnsi="宋体"/>
          <w:b w:val="0"/>
          <w:bCs w:val="0"/>
          <w:color w:val="000000"/>
        </w:rPr>
      </w:pPr>
    </w:p>
    <w:p>
      <w:pPr>
        <w:adjustRightInd w:val="0"/>
        <w:spacing w:line="280" w:lineRule="exact"/>
        <w:ind w:firstLine="6510" w:firstLineChars="3100"/>
        <w:jc w:val="left"/>
        <w:rPr>
          <w:rFonts w:ascii="宋体" w:hAnsi="宋体"/>
          <w:b w:val="0"/>
          <w:bCs w:val="0"/>
          <w:color w:val="000000"/>
        </w:rPr>
      </w:pPr>
      <w:r>
        <w:rPr>
          <w:rFonts w:hint="eastAsia" w:ascii="宋体" w:hAnsi="宋体"/>
          <w:b w:val="0"/>
          <w:bCs w:val="0"/>
          <w:color w:val="000000"/>
        </w:rPr>
        <w:t xml:space="preserve"> </w:t>
      </w:r>
      <w:r>
        <w:rPr>
          <w:rFonts w:ascii="宋体" w:hAnsi="宋体"/>
          <w:b w:val="0"/>
          <w:bCs w:val="0"/>
          <w:color w:val="000000"/>
        </w:rPr>
        <w:t>2</w:t>
      </w:r>
      <w:r>
        <w:rPr>
          <w:rFonts w:hint="eastAsia" w:ascii="宋体" w:hAnsi="宋体"/>
          <w:b w:val="0"/>
          <w:bCs w:val="0"/>
          <w:color w:val="000000"/>
        </w:rPr>
        <w:t xml:space="preserve"> 经营项目：</w:t>
      </w:r>
    </w:p>
    <w:p>
      <w:pPr>
        <w:adjustRightInd w:val="0"/>
        <w:spacing w:line="280" w:lineRule="exact"/>
        <w:jc w:val="left"/>
        <w:rPr>
          <w:rFonts w:ascii="宋体" w:hAnsi="宋体"/>
          <w:b w:val="0"/>
          <w:bCs w:val="0"/>
          <w:color w:val="000000"/>
          <w:spacing w:val="-10"/>
        </w:rPr>
      </w:pPr>
      <w:r>
        <w:rPr>
          <w:rFonts w:hint="eastAsia" w:ascii="宋体" w:hAnsi="宋体"/>
          <w:b w:val="0"/>
          <w:bCs w:val="0"/>
          <w:color w:val="000000"/>
          <w:spacing w:val="-10"/>
        </w:rPr>
        <w:sym w:font="Wingdings 2" w:char="00A3"/>
      </w:r>
      <w:r>
        <w:rPr>
          <w:rFonts w:hint="eastAsia" w:ascii="宋体" w:hAnsi="宋体"/>
          <w:b w:val="0"/>
          <w:bCs w:val="0"/>
          <w:color w:val="000000"/>
          <w:spacing w:val="-10"/>
        </w:rPr>
        <w:t xml:space="preserve">热食类食品简单制售 </w:t>
      </w:r>
      <w:r>
        <w:rPr>
          <w:rFonts w:ascii="宋体" w:hAnsi="宋体"/>
          <w:b w:val="0"/>
          <w:bCs w:val="0"/>
          <w:color w:val="000000"/>
          <w:spacing w:val="-10"/>
        </w:rPr>
        <w:t xml:space="preserve">  </w:t>
      </w:r>
    </w:p>
    <w:p>
      <w:pPr>
        <w:adjustRightInd w:val="0"/>
        <w:spacing w:line="280" w:lineRule="exact"/>
        <w:jc w:val="left"/>
        <w:rPr>
          <w:rFonts w:ascii="宋体" w:hAnsi="宋体"/>
          <w:b w:val="0"/>
          <w:bCs w:val="0"/>
          <w:color w:val="000000"/>
          <w:spacing w:val="-10"/>
        </w:rPr>
      </w:pPr>
      <w:r>
        <w:rPr>
          <w:rFonts w:hint="eastAsia" w:ascii="宋体" w:hAnsi="宋体"/>
          <w:b w:val="0"/>
          <w:bCs w:val="0"/>
          <w:color w:val="000000"/>
          <w:spacing w:val="-10"/>
        </w:rPr>
        <w:sym w:font="Wingdings 2" w:char="00A3"/>
      </w:r>
      <w:r>
        <w:rPr>
          <w:rFonts w:hint="eastAsia" w:ascii="宋体" w:hAnsi="宋体"/>
          <w:b w:val="0"/>
          <w:bCs w:val="0"/>
          <w:color w:val="000000"/>
          <w:spacing w:val="-10"/>
        </w:rPr>
        <w:t xml:space="preserve">冷食类食品简单制售 </w:t>
      </w:r>
    </w:p>
    <w:p>
      <w:pPr>
        <w:adjustRightInd w:val="0"/>
        <w:spacing w:line="280" w:lineRule="exact"/>
        <w:jc w:val="left"/>
        <w:rPr>
          <w:b w:val="0"/>
          <w:bCs w:val="0"/>
        </w:rPr>
      </w:pPr>
      <w:r>
        <w:rPr>
          <w:rFonts w:hint="eastAsia" w:ascii="宋体" w:hAnsi="宋体"/>
          <w:b w:val="0"/>
          <w:bCs w:val="0"/>
        </w:rPr>
        <w:t>□自制</w:t>
      </w:r>
      <w:r>
        <w:rPr>
          <w:rFonts w:ascii="宋体" w:hAnsi="宋体"/>
          <w:b w:val="0"/>
          <w:bCs w:val="0"/>
        </w:rPr>
        <w:t>饮品</w:t>
      </w:r>
      <w:r>
        <w:rPr>
          <w:rFonts w:hint="eastAsia" w:ascii="宋体" w:hAnsi="宋体"/>
          <w:b w:val="0"/>
          <w:bCs w:val="0"/>
          <w:color w:val="000000"/>
          <w:spacing w:val="-10"/>
        </w:rPr>
        <w:t xml:space="preserve">简单制售 </w:t>
      </w:r>
    </w:p>
    <w:p>
      <w:pPr>
        <w:tabs>
          <w:tab w:val="center" w:pos="6960"/>
          <w:tab w:val="left" w:pos="11825"/>
        </w:tabs>
        <w:spacing w:line="280" w:lineRule="exact"/>
        <w:ind w:left="210" w:hanging="210" w:hangingChars="100"/>
        <w:jc w:val="left"/>
        <w:rPr>
          <w:b w:val="0"/>
          <w:bCs w:val="0"/>
        </w:rPr>
      </w:pPr>
      <w:r>
        <w:rPr>
          <w:rFonts w:hint="eastAsia" w:ascii="宋体" w:hAnsi="宋体"/>
          <w:b w:val="0"/>
          <w:bCs w:val="0"/>
        </w:rPr>
        <w:t>□散装食品销售（□含</w:t>
      </w:r>
      <w:r>
        <w:rPr>
          <w:rFonts w:hint="eastAsia" w:ascii="宋体" w:hAnsi="宋体"/>
          <w:b w:val="0"/>
          <w:bCs w:val="0"/>
          <w:lang w:eastAsia="zh-CN"/>
        </w:rPr>
        <w:t>散装</w:t>
      </w:r>
      <w:r>
        <w:rPr>
          <w:rFonts w:hint="eastAsia" w:ascii="宋体" w:hAnsi="宋体"/>
          <w:b w:val="0"/>
          <w:bCs w:val="0"/>
        </w:rPr>
        <w:t>熟食 □不含</w:t>
      </w:r>
      <w:r>
        <w:rPr>
          <w:rFonts w:hint="eastAsia" w:ascii="宋体" w:hAnsi="宋体"/>
          <w:b w:val="0"/>
          <w:bCs w:val="0"/>
          <w:lang w:eastAsia="zh-CN"/>
        </w:rPr>
        <w:t>散装</w:t>
      </w:r>
      <w:r>
        <w:rPr>
          <w:rFonts w:hint="eastAsia" w:ascii="宋体" w:hAnsi="宋体"/>
          <w:b w:val="0"/>
          <w:bCs w:val="0"/>
        </w:rPr>
        <w:t>熟食）和预包装食品销售</w:t>
      </w:r>
    </w:p>
    <w:p>
      <w:pPr>
        <w:tabs>
          <w:tab w:val="center" w:pos="6960"/>
          <w:tab w:val="left" w:pos="11825"/>
        </w:tabs>
        <w:spacing w:line="280" w:lineRule="exact"/>
        <w:jc w:val="left"/>
        <w:rPr>
          <w:rFonts w:ascii="宋体" w:hAnsi="宋体" w:cs="宋体"/>
          <w:b w:val="0"/>
          <w:bCs w:val="0"/>
          <w:kern w:val="0"/>
          <w:sz w:val="20"/>
          <w:lang w:val="zh-CN"/>
        </w:rPr>
      </w:pPr>
      <w:r>
        <w:rPr>
          <w:rFonts w:hint="eastAsia" w:ascii="宋体" w:hAnsi="宋体"/>
          <w:b w:val="0"/>
          <w:bCs w:val="0"/>
        </w:rPr>
        <w:t>□散装食品销售：□含</w:t>
      </w:r>
      <w:r>
        <w:rPr>
          <w:rFonts w:hint="eastAsia" w:ascii="宋体" w:hAnsi="宋体"/>
          <w:b w:val="0"/>
          <w:bCs w:val="0"/>
          <w:lang w:eastAsia="zh-CN"/>
        </w:rPr>
        <w:t>散装</w:t>
      </w:r>
      <w:r>
        <w:rPr>
          <w:rFonts w:hint="eastAsia" w:ascii="宋体" w:hAnsi="宋体"/>
          <w:b w:val="0"/>
          <w:bCs w:val="0"/>
        </w:rPr>
        <w:t>熟食 □不含</w:t>
      </w:r>
      <w:r>
        <w:rPr>
          <w:rFonts w:hint="eastAsia" w:ascii="宋体" w:hAnsi="宋体"/>
          <w:b w:val="0"/>
          <w:bCs w:val="0"/>
          <w:lang w:eastAsia="zh-CN"/>
        </w:rPr>
        <w:t>散装</w:t>
      </w:r>
      <w:r>
        <w:rPr>
          <w:rFonts w:hint="eastAsia" w:ascii="宋体" w:hAnsi="宋体"/>
          <w:b w:val="0"/>
          <w:bCs w:val="0"/>
        </w:rPr>
        <w:t>熟食</w:t>
      </w:r>
    </w:p>
    <w:p>
      <w:pPr>
        <w:tabs>
          <w:tab w:val="center" w:pos="6960"/>
          <w:tab w:val="left" w:pos="11825"/>
        </w:tabs>
        <w:adjustRightInd w:val="0"/>
        <w:spacing w:line="280" w:lineRule="exact"/>
        <w:ind w:firstLine="5040" w:firstLineChars="2400"/>
        <w:jc w:val="left"/>
        <w:rPr>
          <w:rFonts w:ascii="宋体" w:hAnsi="宋体" w:cs="宋体"/>
          <w:b w:val="0"/>
          <w:bCs w:val="0"/>
          <w:color w:val="000000"/>
          <w:kern w:val="0"/>
          <w:u w:val="single"/>
          <w:lang w:val="zh-CN"/>
        </w:rPr>
      </w:pPr>
      <w:r>
        <w:rPr>
          <w:rFonts w:hint="eastAsia" w:ascii="宋体" w:hAnsi="宋体" w:cs="宋体"/>
          <w:b w:val="0"/>
          <w:bCs w:val="0"/>
          <w:color w:val="000000"/>
          <w:kern w:val="0"/>
          <w:lang w:val="zh-CN"/>
        </w:rPr>
        <w:t xml:space="preserve">            核查人签名：</w:t>
      </w:r>
      <w:r>
        <w:rPr>
          <w:rFonts w:ascii="宋体" w:hAnsi="宋体" w:cs="宋体"/>
          <w:b w:val="0"/>
          <w:bCs w:val="0"/>
          <w:color w:val="000000"/>
          <w:kern w:val="0"/>
          <w:u w:val="single"/>
          <w:lang w:val="zh-CN"/>
        </w:rPr>
        <w:t xml:space="preserve">    </w:t>
      </w:r>
      <w:r>
        <w:rPr>
          <w:rFonts w:hint="eastAsia" w:ascii="宋体" w:hAnsi="宋体" w:cs="宋体"/>
          <w:b w:val="0"/>
          <w:bCs w:val="0"/>
          <w:color w:val="000000"/>
          <w:kern w:val="0"/>
          <w:u w:val="single"/>
          <w:lang w:val="zh-CN"/>
        </w:rPr>
        <w:t xml:space="preserve">  </w:t>
      </w:r>
      <w:r>
        <w:rPr>
          <w:rFonts w:hint="eastAsia" w:ascii="宋体" w:hAnsi="宋体" w:cs="宋体"/>
          <w:b w:val="0"/>
          <w:bCs w:val="0"/>
          <w:color w:val="000000"/>
          <w:kern w:val="0"/>
          <w:u w:val="single"/>
        </w:rPr>
        <w:t xml:space="preserve"> 、     </w:t>
      </w:r>
      <w:r>
        <w:rPr>
          <w:rFonts w:hint="eastAsia" w:ascii="宋体" w:hAnsi="宋体" w:cs="宋体"/>
          <w:b w:val="0"/>
          <w:bCs w:val="0"/>
          <w:color w:val="000000"/>
          <w:kern w:val="0"/>
          <w:u w:val="single"/>
          <w:lang w:val="zh-CN"/>
        </w:rPr>
        <w:t xml:space="preserve"> </w:t>
      </w:r>
      <w:r>
        <w:rPr>
          <w:rFonts w:hint="eastAsia" w:ascii="宋体" w:hAnsi="宋体" w:cs="宋体"/>
          <w:b w:val="0"/>
          <w:bCs w:val="0"/>
          <w:color w:val="000000"/>
          <w:kern w:val="0"/>
          <w:lang w:val="zh-CN"/>
        </w:rPr>
        <w:t>申请人阅后确认签名或盖章：</w:t>
      </w:r>
      <w:r>
        <w:rPr>
          <w:rFonts w:ascii="宋体" w:hAnsi="宋体" w:cs="宋体"/>
          <w:b w:val="0"/>
          <w:bCs w:val="0"/>
          <w:color w:val="000000"/>
          <w:kern w:val="0"/>
          <w:u w:val="single"/>
          <w:lang w:val="zh-CN"/>
        </w:rPr>
        <w:t xml:space="preserve">   </w:t>
      </w:r>
      <w:r>
        <w:rPr>
          <w:rFonts w:hint="eastAsia" w:ascii="宋体" w:hAnsi="宋体" w:cs="宋体"/>
          <w:b w:val="0"/>
          <w:bCs w:val="0"/>
          <w:color w:val="000000"/>
          <w:kern w:val="0"/>
          <w:u w:val="single"/>
        </w:rPr>
        <w:t xml:space="preserve">       </w:t>
      </w:r>
      <w:r>
        <w:rPr>
          <w:rFonts w:ascii="宋体" w:hAnsi="宋体" w:cs="宋体"/>
          <w:b w:val="0"/>
          <w:bCs w:val="0"/>
          <w:color w:val="000000"/>
          <w:kern w:val="0"/>
          <w:u w:val="single"/>
          <w:lang w:val="zh-CN"/>
        </w:rPr>
        <w:t xml:space="preserve">  </w:t>
      </w:r>
    </w:p>
    <w:p>
      <w:pPr>
        <w:rPr>
          <w:rFonts w:hint="eastAsia" w:ascii="宋体" w:hAnsi="宋体" w:cs="宋体"/>
          <w:color w:val="000000"/>
          <w:kern w:val="0"/>
          <w:u w:val="single"/>
        </w:rPr>
        <w:sectPr>
          <w:type w:val="continuous"/>
          <w:pgSz w:w="16838" w:h="11906" w:orient="landscape"/>
          <w:pgMar w:top="1587" w:right="2098" w:bottom="1417" w:left="1984" w:header="851" w:footer="992" w:gutter="0"/>
          <w:pgBorders>
            <w:top w:val="none" w:sz="0" w:space="0"/>
            <w:left w:val="none" w:sz="0" w:space="0"/>
            <w:bottom w:val="none" w:sz="0" w:space="0"/>
            <w:right w:val="none" w:sz="0" w:space="0"/>
          </w:pgBorders>
          <w:cols w:equalWidth="0" w:num="2">
            <w:col w:w="5536" w:space="1265"/>
            <w:col w:w="5955"/>
          </w:cols>
          <w:rtlGutter w:val="0"/>
          <w:docGrid w:type="lines" w:linePitch="312" w:charSpace="0"/>
        </w:sectPr>
      </w:pPr>
      <w:r>
        <w:rPr>
          <w:rFonts w:hint="eastAsia" w:ascii="宋体" w:hAnsi="宋体" w:cs="宋体"/>
          <w:b w:val="0"/>
          <w:bCs w:val="0"/>
          <w:color w:val="000000"/>
          <w:kern w:val="0"/>
          <w:u w:val="none"/>
          <w:lang w:val="zh-CN"/>
        </w:rPr>
        <w:t>日期</w:t>
      </w:r>
      <w:r>
        <w:rPr>
          <w:rFonts w:hint="eastAsia" w:ascii="宋体" w:hAnsi="宋体" w:cs="宋体"/>
          <w:b w:val="0"/>
          <w:bCs w:val="0"/>
          <w:color w:val="000000"/>
          <w:kern w:val="0"/>
          <w:u w:val="none"/>
        </w:rPr>
        <w:t xml:space="preserve"> ：</w:t>
      </w:r>
      <w:r>
        <w:rPr>
          <w:rFonts w:hint="eastAsia" w:ascii="宋体" w:hAnsi="宋体" w:cs="宋体"/>
          <w:b w:val="0"/>
          <w:bCs w:val="0"/>
          <w:color w:val="000000"/>
          <w:kern w:val="0"/>
          <w:u w:val="single"/>
        </w:rPr>
        <w:t xml:space="preserve">                    </w:t>
      </w:r>
      <w:r>
        <w:rPr>
          <w:rFonts w:hint="eastAsia" w:ascii="宋体" w:hAnsi="宋体" w:cs="宋体"/>
          <w:b w:val="0"/>
          <w:bCs w:val="0"/>
          <w:color w:val="000000"/>
          <w:kern w:val="0"/>
        </w:rPr>
        <w:t xml:space="preserve">   </w:t>
      </w:r>
      <w:r>
        <w:rPr>
          <w:rFonts w:hint="eastAsia" w:ascii="宋体" w:hAnsi="宋体" w:cs="宋体"/>
          <w:b w:val="0"/>
          <w:bCs w:val="0"/>
          <w:color w:val="000000"/>
          <w:kern w:val="0"/>
          <w:u w:val="none"/>
        </w:rPr>
        <w:t>日期 ：</w:t>
      </w:r>
      <w:r>
        <w:rPr>
          <w:rFonts w:hint="eastAsia" w:ascii="宋体" w:hAnsi="宋体" w:cs="宋体"/>
          <w:b w:val="0"/>
          <w:bCs w:val="0"/>
          <w:color w:val="000000"/>
          <w:kern w:val="0"/>
          <w:u w:val="single"/>
        </w:rPr>
        <w:t xml:space="preserve">                   </w:t>
      </w:r>
    </w:p>
    <w:p>
      <w:pPr>
        <w:bidi w:val="0"/>
        <w:jc w:val="left"/>
        <w:rPr>
          <w:lang w:val="en-US" w:eastAsia="zh-CN"/>
        </w:rPr>
      </w:pPr>
    </w:p>
    <w:sectPr>
      <w:type w:val="continuous"/>
      <w:pgSz w:w="16838" w:h="11906" w:orient="landscape"/>
      <w:pgMar w:top="1587" w:right="2098" w:bottom="1474" w:left="198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1552" behindDoc="0" locked="0" layoutInCell="0" allowOverlap="1">
              <wp:simplePos x="0" y="0"/>
              <wp:positionH relativeFrom="page">
                <wp:posOffset>288290</wp:posOffset>
              </wp:positionH>
              <wp:positionV relativeFrom="page">
                <wp:posOffset>5941060</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wps:txbx>
                    <wps:bodyPr vert="vert" upright="true"/>
                  </wps:wsp>
                </a:graphicData>
              </a:graphic>
            </wp:anchor>
          </w:drawing>
        </mc:Choice>
        <mc:Fallback>
          <w:pict>
            <v:rect id="_x0000_s1026" o:spid="_x0000_s1026" o:spt="1" style="position:absolute;left:0pt;margin-left:22.7pt;margin-top:467.8pt;height:70.5pt;width:60pt;mso-position-horizontal-relative:page;mso-position-vertical-relative:page;z-index:251671552;mso-width-relative:page;mso-height-relative:page;" fillcolor="#FFFFFF" filled="t" stroked="f" coordsize="21600,21600" o:allowincell="f" o:gfxdata="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ijGQVdsAAAALAQAADwAAAAAAAAABACAAAAA4AAAAZHJzL2Rvd25yZXYueG1sUEsB&#10;AhQAFAAAAAgAh07iQCtuNeijAQAAKgMAAA4AAAAAAAAAAQAgAAAAQAEAAGRycy9lMm9Eb2MueG1s&#10;UEsFBgAAAAAGAAYAWQEAAFUFAAAAAA==&#10;">
              <v:fill on="t" focussize="0,0"/>
              <v:stroke on="f"/>
              <v:imagedata o:title=""/>
              <o:lock v:ext="edit" aspectratio="f"/>
              <v:textbox style="layout-flow:vertical;">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2576" behindDoc="0" locked="0" layoutInCell="0" allowOverlap="1">
              <wp:simplePos x="0" y="0"/>
              <wp:positionH relativeFrom="page">
                <wp:posOffset>288290</wp:posOffset>
              </wp:positionH>
              <wp:positionV relativeFrom="page">
                <wp:posOffset>1008380</wp:posOffset>
              </wp:positionV>
              <wp:extent cx="762000" cy="895350"/>
              <wp:effectExtent l="0" t="0" r="0" b="0"/>
              <wp:wrapNone/>
              <wp:docPr id="1" name="矩形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64</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wps:txbx>
                    <wps:bodyPr vert="vert" upright="true"/>
                  </wps:wsp>
                </a:graphicData>
              </a:graphic>
            </wp:anchor>
          </w:drawing>
        </mc:Choice>
        <mc:Fallback>
          <w:pict>
            <v:rect id="_x0000_s1026" o:spid="_x0000_s1026" o:spt="1" style="position:absolute;left:0pt;margin-left:22.7pt;margin-top:79.4pt;height:70.5pt;width:60pt;mso-position-horizontal-relative:page;mso-position-vertical-relative:page;z-index:251672576;mso-width-relative:page;mso-height-relative:page;" fillcolor="#FFFFFF" filled="t" stroked="f" coordsize="21600,21600" o:allowincell="f" o:gfxdata="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dQECctkAAAAKAQAADwAAAAAAAAABACAAAAA4AAAAZHJzL2Rvd25yZXYueG1sUEsBAhQA&#10;FAAAAAgAh07iQNvb6lyiAQAAKgMAAA4AAAAAAAAAAQAgAAAAPgEAAGRycy9lMm9Eb2MueG1sUEsF&#10;BgAAAAAGAAYAWQEAAFIFAAAAAA==&#10;">
              <v:fill on="t" focussize="0,0"/>
              <v:stroke on="f"/>
              <v:imagedata o:title=""/>
              <o:lock v:ext="edit" aspectratio="f"/>
              <v:textbox style="layout-flow:vertical;">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64</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0" allowOverlap="1">
              <wp:simplePos x="0" y="0"/>
              <wp:positionH relativeFrom="page">
                <wp:posOffset>288290</wp:posOffset>
              </wp:positionH>
              <wp:positionV relativeFrom="page">
                <wp:posOffset>1008380</wp:posOffset>
              </wp:positionV>
              <wp:extent cx="762000" cy="895350"/>
              <wp:effectExtent l="0" t="0" r="0" b="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76</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wps:txbx>
                    <wps:bodyPr vert="vert" upright="true"/>
                  </wps:wsp>
                </a:graphicData>
              </a:graphic>
            </wp:anchor>
          </w:drawing>
        </mc:Choice>
        <mc:Fallback>
          <w:pict>
            <v:rect id="_x0000_s1026" o:spid="_x0000_s1026" o:spt="1" style="position:absolute;left:0pt;margin-left:22.7pt;margin-top:79.4pt;height:70.5pt;width:60pt;mso-position-horizontal-relative:page;mso-position-vertical-relative:page;z-index:251660288;mso-width-relative:page;mso-height-relative:page;" fillcolor="#FFFFFF" filled="t" stroked="f" coordsize="21600,21600" o:allowincell="f" o:gfxdata="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UBAnLZAAAACgEAAA8AAAAAAAAAAQAgAAAAOAAAAGRycy9kb3ducmV2LnhtbFBLAQIU&#10;ABQAAAAIAIdO4kDTtFqyowEAACoDAAAOAAAAAAAAAAEAIAAAAD4BAABkcnMvZTJvRG9jLnhtbFBL&#10;BQYAAAAABgAGAFkBAABTBQAAAAA=&#10;">
              <v:fill on="t" focussize="0,0"/>
              <v:stroke on="f"/>
              <v:imagedata o:title=""/>
              <o:lock v:ext="edit" aspectratio="f"/>
              <v:textbox style="layout-flow:vertical;">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76</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78F38"/>
    <w:rsid w:val="000C7CAC"/>
    <w:rsid w:val="00143D21"/>
    <w:rsid w:val="001E75E7"/>
    <w:rsid w:val="00261839"/>
    <w:rsid w:val="003A6E1C"/>
    <w:rsid w:val="004028AD"/>
    <w:rsid w:val="00455471"/>
    <w:rsid w:val="004A5981"/>
    <w:rsid w:val="00557D58"/>
    <w:rsid w:val="00601FCA"/>
    <w:rsid w:val="006566F6"/>
    <w:rsid w:val="00713B91"/>
    <w:rsid w:val="00743888"/>
    <w:rsid w:val="007526D6"/>
    <w:rsid w:val="00757549"/>
    <w:rsid w:val="00763436"/>
    <w:rsid w:val="007C15C6"/>
    <w:rsid w:val="007F1DCF"/>
    <w:rsid w:val="0080156C"/>
    <w:rsid w:val="008079AB"/>
    <w:rsid w:val="00886119"/>
    <w:rsid w:val="0090205B"/>
    <w:rsid w:val="009F461A"/>
    <w:rsid w:val="00A32E56"/>
    <w:rsid w:val="00A34AB9"/>
    <w:rsid w:val="00A73B73"/>
    <w:rsid w:val="00A746E9"/>
    <w:rsid w:val="00AB4BB1"/>
    <w:rsid w:val="00AB7739"/>
    <w:rsid w:val="00BA5A13"/>
    <w:rsid w:val="00BA5A36"/>
    <w:rsid w:val="00BB755B"/>
    <w:rsid w:val="00BD77AE"/>
    <w:rsid w:val="00C37E7D"/>
    <w:rsid w:val="00CB2E91"/>
    <w:rsid w:val="00CB600E"/>
    <w:rsid w:val="00D0705B"/>
    <w:rsid w:val="00D07490"/>
    <w:rsid w:val="00D339A6"/>
    <w:rsid w:val="00D33B73"/>
    <w:rsid w:val="00D53291"/>
    <w:rsid w:val="00D96184"/>
    <w:rsid w:val="00E020C8"/>
    <w:rsid w:val="00EC1EDA"/>
    <w:rsid w:val="00F06497"/>
    <w:rsid w:val="00F163EE"/>
    <w:rsid w:val="00FC62C8"/>
    <w:rsid w:val="1B3B97C8"/>
    <w:rsid w:val="1BB75493"/>
    <w:rsid w:val="1D5E97D8"/>
    <w:rsid w:val="2AFBDA0A"/>
    <w:rsid w:val="2FEF66E6"/>
    <w:rsid w:val="376F9AAE"/>
    <w:rsid w:val="3BF52EFC"/>
    <w:rsid w:val="4EF78F38"/>
    <w:rsid w:val="5CFF51EE"/>
    <w:rsid w:val="5D7581CF"/>
    <w:rsid w:val="5D938049"/>
    <w:rsid w:val="67EF4AEB"/>
    <w:rsid w:val="6DF644A0"/>
    <w:rsid w:val="6F376E22"/>
    <w:rsid w:val="6F6677C8"/>
    <w:rsid w:val="6FBF284F"/>
    <w:rsid w:val="74FF1AFF"/>
    <w:rsid w:val="77F49234"/>
    <w:rsid w:val="7AFBFAC5"/>
    <w:rsid w:val="7BAF5A1C"/>
    <w:rsid w:val="7BD9D8FE"/>
    <w:rsid w:val="7DDBA3E0"/>
    <w:rsid w:val="7E7FE4BA"/>
    <w:rsid w:val="7EF9B74F"/>
    <w:rsid w:val="7F7F101C"/>
    <w:rsid w:val="7FD3C565"/>
    <w:rsid w:val="7FEF8CBC"/>
    <w:rsid w:val="9FFAFFE0"/>
    <w:rsid w:val="BBFFF606"/>
    <w:rsid w:val="D5E72DCB"/>
    <w:rsid w:val="E7A47444"/>
    <w:rsid w:val="EF7A083A"/>
    <w:rsid w:val="F3E34968"/>
    <w:rsid w:val="F6772D47"/>
    <w:rsid w:val="FBA5C9FB"/>
    <w:rsid w:val="FBF78C4C"/>
    <w:rsid w:val="FBFB6E02"/>
    <w:rsid w:val="FEEFB18B"/>
    <w:rsid w:val="FFC736E4"/>
    <w:rsid w:val="FFFED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style>
  <w:style w:type="character" w:customStyle="1" w:styleId="9">
    <w:name w:val="页眉 字符"/>
    <w:basedOn w:val="7"/>
    <w:link w:val="5"/>
    <w:qFormat/>
    <w:uiPriority w:val="0"/>
    <w:rPr>
      <w:rFonts w:ascii="Times New Roman" w:hAnsi="Times New Roman" w:eastAsia="宋体" w:cs="Times New Roman"/>
      <w:kern w:val="2"/>
      <w:sz w:val="18"/>
      <w:szCs w:val="18"/>
    </w:rPr>
  </w:style>
  <w:style w:type="character" w:customStyle="1" w:styleId="10">
    <w:name w:val="页脚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1785</Words>
  <Characters>1894</Characters>
  <Lines>315</Lines>
  <Paragraphs>262</Paragraphs>
  <TotalTime>2</TotalTime>
  <ScaleCrop>false</ScaleCrop>
  <LinksUpToDate>false</LinksUpToDate>
  <CharactersWithSpaces>3417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2023-08-22T02:09:00Z</dcterms:created>
  <dc:creator>scjgj</dc:creator>
  <cp:lastModifiedBy>uos</cp:lastModifiedBy>
  <cp:lastPrinted>2023-08-23T06:49:00Z</cp:lastPrinted>
  <dcterms:modified xsi:type="dcterms:W3CDTF">2024-05-29T12:45:51Z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