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rPr>
          <w:rFonts w:hint="eastAsia" w:ascii="黑体" w:hAnsi="黑体" w:eastAsia="黑体"/>
          <w:bCs/>
          <w:kern w:val="0"/>
          <w:sz w:val="32"/>
          <w:szCs w:val="44"/>
          <w:lang w:eastAsia="zh-CN"/>
        </w:rPr>
      </w:pPr>
      <w:r>
        <w:rPr>
          <w:rFonts w:hint="eastAsia" w:ascii="黑体" w:hAnsi="黑体" w:eastAsia="黑体"/>
          <w:bCs/>
          <w:kern w:val="0"/>
          <w:sz w:val="32"/>
          <w:szCs w:val="44"/>
        </w:rPr>
        <w:t>附件1-</w:t>
      </w:r>
      <w:r>
        <w:rPr>
          <w:rFonts w:hint="eastAsia" w:ascii="黑体" w:hAnsi="黑体" w:eastAsia="黑体"/>
          <w:bCs/>
          <w:kern w:val="0"/>
          <w:sz w:val="32"/>
          <w:szCs w:val="44"/>
          <w:lang w:val="en-US" w:eastAsia="zh-CN"/>
        </w:rPr>
        <w:t>9</w:t>
      </w:r>
    </w:p>
    <w:p>
      <w:pPr>
        <w:pStyle w:val="2"/>
        <w:ind w:firstLine="600"/>
      </w:pP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食品经营许可现场核查表</w:t>
      </w: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（适用于</w:t>
      </w:r>
      <w:r>
        <w:rPr>
          <w:rFonts w:hint="eastAsia" w:ascii="方正小标宋简体" w:hAnsi="宋体" w:eastAsia="方正小标宋简体" w:cs="仿宋_GB2312"/>
          <w:bCs/>
          <w:color w:val="000000"/>
          <w:kern w:val="0"/>
          <w:sz w:val="44"/>
          <w:szCs w:val="44"/>
          <w:lang w:eastAsia="zh-CN"/>
        </w:rPr>
        <w:t>自制饮品制售</w:t>
      </w:r>
      <w:r>
        <w:rPr>
          <w:rFonts w:hint="eastAsia" w:ascii="方正小标宋简体" w:hAnsi="宋体" w:eastAsia="方正小标宋简体" w:cs="仿宋_GB2312"/>
          <w:bCs/>
          <w:color w:val="000000"/>
          <w:kern w:val="0"/>
          <w:sz w:val="44"/>
          <w:szCs w:val="44"/>
        </w:rPr>
        <w:t>）</w:t>
      </w: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单位名称：</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地    址：</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color w:val="000000"/>
          <w:kern w:val="0"/>
          <w:sz w:val="36"/>
          <w:szCs w:val="36"/>
          <w:u w:val="single"/>
        </w:rPr>
        <w:sectPr>
          <w:headerReference r:id="rId3" w:type="default"/>
          <w:headerReference r:id="rId4" w:type="even"/>
          <w:footerReference r:id="rId5" w:type="even"/>
          <w:pgSz w:w="16839" w:h="11907" w:orient="landscape"/>
          <w:pgMar w:top="1588" w:right="2098" w:bottom="1474" w:left="1985" w:header="720" w:footer="720" w:gutter="0"/>
          <w:pgBorders>
            <w:top w:val="none" w:sz="0" w:space="0"/>
            <w:left w:val="none" w:sz="0" w:space="0"/>
            <w:bottom w:val="none" w:sz="0" w:space="0"/>
            <w:right w:val="none" w:sz="0" w:space="0"/>
          </w:pgBorders>
          <w:cols w:space="720" w:num="1"/>
          <w:docGrid w:linePitch="286" w:charSpace="0"/>
        </w:sectPr>
      </w:pPr>
      <w:r>
        <w:rPr>
          <w:rFonts w:hint="eastAsia" w:ascii="仿宋_GB2312" w:hAnsi="宋体" w:eastAsia="仿宋_GB2312" w:cs="仿宋_GB2312"/>
          <w:b/>
          <w:bCs/>
          <w:kern w:val="0"/>
          <w:sz w:val="36"/>
          <w:szCs w:val="36"/>
        </w:rPr>
        <w:t>核查日期：</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p>
    <w:tbl>
      <w:tblPr>
        <w:tblStyle w:val="6"/>
        <w:tblpPr w:leftFromText="180" w:rightFromText="180" w:vertAnchor="text" w:horzAnchor="page" w:tblpX="2128" w:tblpY="-82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7857"/>
        <w:gridCol w:w="690"/>
        <w:gridCol w:w="869"/>
        <w:gridCol w:w="947"/>
        <w:gridCol w:w="94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blHeader/>
          <w:jc w:val="center"/>
        </w:trPr>
        <w:tc>
          <w:tcPr>
            <w:tcW w:w="369" w:type="pct"/>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c>
          <w:tcPr>
            <w:tcW w:w="3029" w:type="pct"/>
            <w:tcBorders>
              <w:top w:val="nil"/>
              <w:left w:val="nil"/>
              <w:right w:val="nil"/>
            </w:tcBorders>
            <w:vAlign w:val="center"/>
          </w:tcPr>
          <w:p>
            <w:pPr>
              <w:widowControl/>
              <w:jc w:val="center"/>
              <w:rPr>
                <w:rFonts w:hint="eastAsia" w:ascii="仿宋_GB2312" w:hAnsi="宋体" w:eastAsia="仿宋_GB2312" w:cs="仿宋_GB2312"/>
                <w:b/>
                <w:bCs/>
                <w:color w:val="000000"/>
                <w:kern w:val="0"/>
                <w:sz w:val="24"/>
                <w:szCs w:val="24"/>
              </w:rPr>
            </w:pPr>
          </w:p>
        </w:tc>
        <w:tc>
          <w:tcPr>
            <w:tcW w:w="266" w:type="pct"/>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c>
          <w:tcPr>
            <w:tcW w:w="335" w:type="pct"/>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c>
          <w:tcPr>
            <w:tcW w:w="1000" w:type="pct"/>
            <w:gridSpan w:val="3"/>
            <w:tcBorders>
              <w:top w:val="nil"/>
              <w:left w:val="nil"/>
              <w:right w:val="nil"/>
            </w:tcBorders>
            <w:vAlign w:val="center"/>
          </w:tcPr>
          <w:p>
            <w:pPr>
              <w:widowControl/>
              <w:jc w:val="center"/>
              <w:rPr>
                <w:rFonts w:hint="eastAsia" w:ascii="仿宋_GB2312" w:hAnsi="宋体" w:eastAsia="仿宋_GB2312" w:cs="仿宋_GB2312"/>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jc w:val="center"/>
        </w:trPr>
        <w:tc>
          <w:tcPr>
            <w:tcW w:w="369"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核查</w:t>
            </w:r>
          </w:p>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内容</w:t>
            </w:r>
          </w:p>
        </w:tc>
        <w:tc>
          <w:tcPr>
            <w:tcW w:w="3029" w:type="pct"/>
            <w:vMerge w:val="restart"/>
            <w:vAlign w:val="center"/>
          </w:tcPr>
          <w:p>
            <w:pPr>
              <w:widowControl/>
              <w:jc w:val="center"/>
              <w:rPr>
                <w:rFonts w:ascii="仿宋_GB2312" w:hAnsi="宋体" w:eastAsia="仿宋_GB2312"/>
                <w:b/>
                <w:bCs/>
                <w:color w:val="000000"/>
                <w:kern w:val="0"/>
                <w:sz w:val="24"/>
              </w:rPr>
            </w:pPr>
            <w:r>
              <w:rPr>
                <w:rFonts w:hint="eastAsia" w:ascii="仿宋_GB2312" w:hAnsi="宋体" w:eastAsia="仿宋_GB2312" w:cs="仿宋_GB2312"/>
                <w:b/>
                <w:bCs/>
                <w:color w:val="000000"/>
                <w:kern w:val="0"/>
                <w:sz w:val="24"/>
                <w:szCs w:val="24"/>
              </w:rPr>
              <w:t>核查和评价方法</w:t>
            </w:r>
          </w:p>
        </w:tc>
        <w:tc>
          <w:tcPr>
            <w:tcW w:w="266"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编号</w:t>
            </w:r>
          </w:p>
        </w:tc>
        <w:tc>
          <w:tcPr>
            <w:tcW w:w="335"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重要性</w:t>
            </w:r>
          </w:p>
        </w:tc>
        <w:tc>
          <w:tcPr>
            <w:tcW w:w="1000" w:type="pct"/>
            <w:gridSpan w:val="3"/>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369" w:type="pct"/>
            <w:vMerge w:val="continue"/>
            <w:vAlign w:val="center"/>
          </w:tcPr>
          <w:p>
            <w:pPr>
              <w:widowControl/>
              <w:jc w:val="left"/>
              <w:rPr>
                <w:rFonts w:ascii="仿宋_GB2312" w:hAnsi="宋体" w:eastAsia="仿宋_GB2312"/>
                <w:b/>
                <w:bCs/>
                <w:color w:val="000000"/>
                <w:kern w:val="0"/>
              </w:rPr>
            </w:pPr>
          </w:p>
        </w:tc>
        <w:tc>
          <w:tcPr>
            <w:tcW w:w="3029" w:type="pct"/>
            <w:vMerge w:val="continue"/>
            <w:vAlign w:val="center"/>
          </w:tcPr>
          <w:p>
            <w:pPr>
              <w:widowControl/>
              <w:jc w:val="left"/>
              <w:rPr>
                <w:rFonts w:ascii="仿宋_GB2312" w:hAnsi="宋体" w:eastAsia="仿宋_GB2312"/>
                <w:b/>
                <w:bCs/>
                <w:color w:val="000000"/>
                <w:kern w:val="0"/>
                <w:sz w:val="24"/>
              </w:rPr>
            </w:pPr>
          </w:p>
        </w:tc>
        <w:tc>
          <w:tcPr>
            <w:tcW w:w="266" w:type="pct"/>
            <w:vMerge w:val="continue"/>
            <w:vAlign w:val="center"/>
          </w:tcPr>
          <w:p>
            <w:pPr>
              <w:widowControl/>
              <w:jc w:val="left"/>
              <w:rPr>
                <w:rFonts w:ascii="仿宋_GB2312" w:hAnsi="宋体" w:eastAsia="仿宋_GB2312"/>
                <w:b/>
                <w:bCs/>
                <w:color w:val="000000"/>
                <w:kern w:val="0"/>
              </w:rPr>
            </w:pPr>
          </w:p>
        </w:tc>
        <w:tc>
          <w:tcPr>
            <w:tcW w:w="335" w:type="pct"/>
            <w:vMerge w:val="continue"/>
            <w:vAlign w:val="center"/>
          </w:tcPr>
          <w:p>
            <w:pPr>
              <w:widowControl/>
              <w:jc w:val="left"/>
              <w:rPr>
                <w:rFonts w:ascii="仿宋_GB2312" w:hAnsi="宋体" w:eastAsia="仿宋_GB2312"/>
                <w:b/>
                <w:bCs/>
                <w:color w:val="000000"/>
                <w:kern w:val="0"/>
              </w:rPr>
            </w:pPr>
          </w:p>
        </w:tc>
        <w:tc>
          <w:tcPr>
            <w:tcW w:w="365"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符合</w:t>
            </w:r>
          </w:p>
        </w:tc>
        <w:tc>
          <w:tcPr>
            <w:tcW w:w="365"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不符合</w:t>
            </w:r>
          </w:p>
        </w:tc>
        <w:tc>
          <w:tcPr>
            <w:tcW w:w="269"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369" w:type="pc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1.</w:t>
            </w:r>
            <w:r>
              <w:rPr>
                <w:rFonts w:hint="eastAsia" w:ascii="仿宋_GB2312" w:hAnsi="宋体" w:eastAsia="仿宋_GB2312" w:cs="仿宋_GB2312"/>
                <w:color w:val="000000"/>
                <w:kern w:val="0"/>
              </w:rPr>
              <w:t>选址</w:t>
            </w:r>
          </w:p>
        </w:tc>
        <w:tc>
          <w:tcPr>
            <w:tcW w:w="3029"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lang w:eastAsia="zh-CN"/>
              </w:rPr>
              <w:t>选择</w:t>
            </w:r>
            <w:r>
              <w:rPr>
                <w:rFonts w:hint="eastAsia" w:ascii="仿宋_GB2312" w:hAnsi="宋体" w:eastAsia="仿宋_GB2312" w:cs="仿宋_GB2312"/>
                <w:color w:val="000000"/>
                <w:kern w:val="0"/>
              </w:rPr>
              <w:t>地势干燥、有给排水条件和电力供应，不得设在易受到污染的区域。距离粪坑、污水池、暴露垃圾场（站）、旱厕等污染源</w:t>
            </w:r>
            <w:r>
              <w:rPr>
                <w:rFonts w:ascii="仿宋_GB2312" w:hAnsi="宋体" w:eastAsia="仿宋_GB2312" w:cs="仿宋_GB2312"/>
                <w:color w:val="000000"/>
                <w:kern w:val="0"/>
              </w:rPr>
              <w:t>25</w:t>
            </w:r>
            <w:r>
              <w:rPr>
                <w:rFonts w:ascii="仿宋_GB2312" w:hAnsi="宋体" w:eastAsia="仿宋_GB2312" w:cs="仿宋_GB2312"/>
                <w:color w:val="000000"/>
                <w:kern w:val="0"/>
                <w:lang w:val="en"/>
              </w:rPr>
              <w:t>m</w:t>
            </w:r>
            <w:r>
              <w:rPr>
                <w:rFonts w:hint="eastAsia" w:ascii="仿宋_GB2312" w:hAnsi="宋体" w:eastAsia="仿宋_GB2312" w:cs="仿宋_GB2312"/>
                <w:color w:val="000000"/>
                <w:kern w:val="0"/>
              </w:rPr>
              <w:t>以上</w:t>
            </w:r>
          </w:p>
        </w:tc>
        <w:tc>
          <w:tcPr>
            <w:tcW w:w="266"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69" w:type="pct"/>
            <w:vMerge w:val="restar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场所设置和布局</w:t>
            </w:r>
          </w:p>
        </w:tc>
        <w:tc>
          <w:tcPr>
            <w:tcW w:w="3029"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设置与食品供应方式和品种相适应的切配、</w:t>
            </w:r>
            <w:r>
              <w:rPr>
                <w:rFonts w:hint="eastAsia" w:ascii="仿宋_GB2312" w:hAnsi="宋体" w:eastAsia="仿宋_GB2312" w:cs="仿宋_GB2312"/>
                <w:color w:val="000000"/>
                <w:kern w:val="0"/>
                <w:lang w:eastAsia="zh-CN"/>
              </w:rPr>
              <w:t>冲调</w:t>
            </w:r>
            <w:r>
              <w:rPr>
                <w:rFonts w:hint="eastAsia" w:ascii="仿宋_GB2312" w:hAnsi="宋体" w:eastAsia="仿宋_GB2312" w:cs="仿宋_GB2312"/>
                <w:color w:val="000000"/>
                <w:kern w:val="0"/>
              </w:rPr>
              <w:t>、</w:t>
            </w:r>
            <w:r>
              <w:rPr>
                <w:rFonts w:hint="eastAsia" w:ascii="仿宋_GB2312" w:hAnsi="宋体" w:eastAsia="仿宋_GB2312" w:cs="仿宋_GB2312"/>
                <w:color w:val="000000"/>
                <w:kern w:val="0"/>
                <w:lang w:eastAsia="zh-CN"/>
              </w:rPr>
              <w:t>工</w:t>
            </w:r>
            <w:r>
              <w:rPr>
                <w:rFonts w:hint="eastAsia" w:ascii="仿宋_GB2312" w:hAnsi="宋体" w:eastAsia="仿宋_GB2312" w:cs="仿宋_GB2312"/>
                <w:color w:val="000000"/>
                <w:kern w:val="0"/>
              </w:rPr>
              <w:t>用具清洗消毒等加工操作场所，以及</w:t>
            </w:r>
            <w:r>
              <w:rPr>
                <w:rFonts w:hint="eastAsia" w:ascii="仿宋_GB2312" w:hAnsi="宋体" w:eastAsia="仿宋_GB2312" w:cs="仿宋_GB2312"/>
                <w:color w:val="000000"/>
                <w:kern w:val="0"/>
                <w:lang w:eastAsia="zh-CN"/>
              </w:rPr>
              <w:t>工具清洗消毒设施，必要时设专用冷藏设施</w:t>
            </w:r>
            <w:r>
              <w:rPr>
                <w:rFonts w:hint="eastAsia" w:ascii="仿宋_GB2312" w:hAnsi="宋体" w:eastAsia="仿宋_GB2312" w:cs="仿宋_GB2312"/>
                <w:color w:val="000000"/>
                <w:kern w:val="0"/>
              </w:rPr>
              <w:t>，各场所均设在室内</w:t>
            </w:r>
          </w:p>
        </w:tc>
        <w:tc>
          <w:tcPr>
            <w:tcW w:w="266"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adjustRightInd w:val="0"/>
              <w:snapToGrid w:val="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kern w:val="0"/>
              </w:rPr>
              <w:t>用于盛放原料、半成品、成品的容器和使用的工具、用具，应有明显的区分，分开定位存放</w:t>
            </w:r>
          </w:p>
        </w:tc>
        <w:tc>
          <w:tcPr>
            <w:tcW w:w="266" w:type="pct"/>
            <w:vAlign w:val="center"/>
          </w:tcPr>
          <w:p>
            <w:pPr>
              <w:widowControl/>
              <w:snapToGrid w:val="0"/>
              <w:jc w:val="center"/>
              <w:rPr>
                <w:rFonts w:hint="eastAsia"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lang w:eastAsia="zh-CN"/>
              </w:rPr>
              <w:t>3</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snapToGrid w:val="0"/>
              <w:jc w:val="center"/>
              <w:rPr>
                <w:rFonts w:hint="eastAsia"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snapToGrid w:val="0"/>
              <w:jc w:val="center"/>
              <w:rPr>
                <w:rFonts w:hint="eastAsia"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snapToGrid w:val="0"/>
              <w:jc w:val="center"/>
              <w:rPr>
                <w:rFonts w:ascii="仿宋_GB2312" w:hAnsi="宋体" w:eastAsia="仿宋_GB2312" w:cs="Times New Roman"/>
                <w:color w:val="000000"/>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adjustRightInd w:val="0"/>
              <w:snapToGrid w:val="0"/>
              <w:rPr>
                <w:rFonts w:hint="eastAsia"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有初加工过程的，分别设置与加工品种相对应的食品原料清洗水池，水池数量和容量与加工食品的数量相适应。各类水池以明显标识标明其用途</w:t>
            </w:r>
          </w:p>
        </w:tc>
        <w:tc>
          <w:tcPr>
            <w:tcW w:w="266" w:type="pct"/>
            <w:vAlign w:val="center"/>
          </w:tcPr>
          <w:p>
            <w:pPr>
              <w:widowControl/>
              <w:snapToGrid w:val="0"/>
              <w:jc w:val="center"/>
              <w:rPr>
                <w:rFonts w:hint="eastAsia"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lang w:val="en-US" w:eastAsia="zh-CN"/>
              </w:rPr>
              <w:t>4</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snapToGrid w:val="0"/>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lang w:eastAsia="zh-CN"/>
              </w:rPr>
              <w:t>制作现榨果蔬汁、食用冰等直接入口食品的，应配备净水处理设备或者煮沸设施设备，用水符合国家生活饮用水卫生标准</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5</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仿宋_GB2312"/>
                <w:color w:val="000000"/>
                <w:kern w:val="0"/>
              </w:rPr>
            </w:pPr>
          </w:p>
        </w:tc>
        <w:tc>
          <w:tcPr>
            <w:tcW w:w="269"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设专用于拖把等清洁工具（如扫帚、拖把、抹布、刷子等）的清洗水池或设施，其位置不会污染食品及其加工制作过程。</w:t>
            </w:r>
          </w:p>
        </w:tc>
        <w:tc>
          <w:tcPr>
            <w:tcW w:w="266" w:type="pct"/>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s="仿宋_GB2312"/>
                <w:color w:val="000000"/>
                <w:kern w:val="0"/>
                <w:lang w:val="en-US" w:eastAsia="zh-CN"/>
              </w:rPr>
              <w:t>6</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adjustRightInd w:val="0"/>
              <w:snapToGrid w:val="0"/>
              <w:rPr>
                <w:rFonts w:ascii="仿宋_GB2312" w:hAnsi="宋体" w:eastAsia="仿宋_GB2312" w:cs="仿宋_GB2312"/>
                <w:color w:val="000000"/>
                <w:kern w:val="0"/>
                <w:lang w:val="zh-CN"/>
              </w:rPr>
            </w:pPr>
            <w:r>
              <w:rPr>
                <w:rFonts w:hint="eastAsia" w:ascii="仿宋_GB2312" w:hAnsi="宋体" w:eastAsia="仿宋_GB2312" w:cs="仿宋_GB2312"/>
                <w:color w:val="000000"/>
                <w:kern w:val="0"/>
              </w:rPr>
              <w:t>外卖取餐区应与加工制作区分离，并标识明显</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7</w:t>
            </w:r>
          </w:p>
        </w:tc>
        <w:tc>
          <w:tcPr>
            <w:tcW w:w="33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369" w:type="pct"/>
            <w:vMerge w:val="restar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olor w:val="000000"/>
                <w:kern w:val="0"/>
                <w:lang w:val="en-US" w:eastAsia="zh-CN"/>
              </w:rPr>
              <w:t>3</w:t>
            </w:r>
            <w:r>
              <w:rPr>
                <w:rFonts w:hint="eastAsia" w:ascii="仿宋_GB2312" w:hAnsi="宋体" w:eastAsia="仿宋_GB2312"/>
                <w:color w:val="000000"/>
                <w:kern w:val="0"/>
              </w:rPr>
              <w:t>.</w:t>
            </w:r>
            <w:r>
              <w:rPr>
                <w:rFonts w:hint="eastAsia" w:ascii="仿宋_GB2312" w:hAnsi="宋体" w:eastAsia="仿宋_GB2312"/>
                <w:color w:val="000000"/>
                <w:kern w:val="0"/>
                <w:lang w:eastAsia="zh-CN"/>
              </w:rPr>
              <w:t>工</w:t>
            </w:r>
            <w:r>
              <w:rPr>
                <w:rFonts w:hint="eastAsia" w:ascii="仿宋_GB2312" w:hAnsi="宋体" w:eastAsia="仿宋_GB2312"/>
                <w:color w:val="000000"/>
                <w:kern w:val="0"/>
              </w:rPr>
              <w:t>用具清洗消毒场所</w:t>
            </w:r>
          </w:p>
        </w:tc>
        <w:tc>
          <w:tcPr>
            <w:tcW w:w="3029"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rPr>
              <w:t>配备能正常运转的</w:t>
            </w:r>
            <w:r>
              <w:rPr>
                <w:rFonts w:hint="eastAsia" w:ascii="仿宋_GB2312" w:hAnsi="宋体" w:eastAsia="仿宋_GB2312" w:cs="仿宋_GB2312"/>
                <w:color w:val="000000"/>
                <w:kern w:val="0"/>
                <w:lang w:eastAsia="zh-CN"/>
              </w:rPr>
              <w:t>工</w:t>
            </w:r>
            <w:r>
              <w:rPr>
                <w:rFonts w:hint="eastAsia" w:ascii="仿宋_GB2312" w:hAnsi="宋体" w:eastAsia="仿宋_GB2312" w:cs="仿宋_GB2312"/>
                <w:color w:val="000000"/>
                <w:kern w:val="0"/>
              </w:rPr>
              <w:t>具清洗、消毒设备设施并专用，大小和数量能满足需要</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8</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69"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首选物理清洗消毒方式（因材质无法采用的除外），根据需要设置</w:t>
            </w:r>
            <w:r>
              <w:rPr>
                <w:rFonts w:hint="eastAsia" w:ascii="仿宋_GB2312" w:hAnsi="宋体" w:eastAsia="仿宋_GB2312" w:cs="仿宋_GB2312"/>
                <w:color w:val="000000"/>
                <w:kern w:val="0"/>
                <w:lang w:eastAsia="zh-CN"/>
              </w:rPr>
              <w:t>工</w:t>
            </w:r>
            <w:r>
              <w:rPr>
                <w:rFonts w:hint="eastAsia" w:ascii="仿宋_GB2312" w:hAnsi="宋体" w:eastAsia="仿宋_GB2312" w:cs="仿宋_GB2312"/>
                <w:color w:val="000000"/>
                <w:kern w:val="0"/>
              </w:rPr>
              <w:t>具清洗水池数量</w:t>
            </w:r>
          </w:p>
        </w:tc>
        <w:tc>
          <w:tcPr>
            <w:tcW w:w="266" w:type="pct"/>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9</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tabs>
                <w:tab w:val="left" w:pos="202"/>
                <w:tab w:val="center" w:pos="608"/>
              </w:tabs>
              <w:spacing w:line="240" w:lineRule="exact"/>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r>
              <w:rPr>
                <w:rFonts w:hint="eastAsia" w:ascii="仿宋_GB2312" w:hAnsi="宋体" w:eastAsia="仿宋_GB2312" w:cs="仿宋_GB2312"/>
                <w:color w:val="000000"/>
                <w:kern w:val="0"/>
                <w:lang w:eastAsia="zh-CN"/>
              </w:rPr>
              <w:tab/>
            </w: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69"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采用化学消毒的，设有</w:t>
            </w:r>
            <w:r>
              <w:rPr>
                <w:rFonts w:ascii="仿宋_GB2312" w:hAnsi="宋体" w:eastAsia="仿宋_GB2312" w:cs="仿宋_GB2312"/>
                <w:color w:val="000000"/>
                <w:kern w:val="0"/>
              </w:rPr>
              <w:t>3</w:t>
            </w:r>
            <w:r>
              <w:rPr>
                <w:rFonts w:hint="eastAsia" w:ascii="仿宋_GB2312" w:hAnsi="宋体" w:eastAsia="仿宋_GB2312" w:cs="仿宋_GB2312"/>
                <w:color w:val="000000"/>
                <w:kern w:val="0"/>
              </w:rPr>
              <w:t>个专用水池，各类水池以明显标识标明其用途</w:t>
            </w:r>
          </w:p>
        </w:tc>
        <w:tc>
          <w:tcPr>
            <w:tcW w:w="266" w:type="pct"/>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10</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69"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lang w:eastAsia="zh-CN"/>
              </w:rPr>
              <w:t>工</w:t>
            </w:r>
            <w:r>
              <w:rPr>
                <w:rFonts w:hint="eastAsia" w:ascii="仿宋_GB2312" w:hAnsi="宋体" w:eastAsia="仿宋_GB2312" w:cs="仿宋_GB2312"/>
                <w:color w:val="000000"/>
                <w:kern w:val="0"/>
              </w:rPr>
              <w:t>具的保洁设施应标记明显，利于防尘、清洁</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11</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369" w:type="pct"/>
            <w:vMerge w:val="restart"/>
            <w:vAlign w:val="center"/>
          </w:tcPr>
          <w:p>
            <w:pPr>
              <w:widowControl/>
              <w:jc w:val="center"/>
              <w:rPr>
                <w:rFonts w:hint="eastAsia" w:ascii="仿宋_GB2312" w:hAnsi="宋体" w:eastAsia="仿宋_GB2312" w:cs="仿宋_GB2312"/>
                <w:b/>
                <w:bCs/>
                <w:color w:val="000000"/>
                <w:kern w:val="0"/>
              </w:rPr>
            </w:pPr>
            <w:r>
              <w:rPr>
                <w:rFonts w:hint="eastAsia" w:ascii="仿宋_GB2312" w:hAnsi="宋体" w:eastAsia="仿宋_GB2312" w:cs="仿宋_GB2312"/>
                <w:b/>
                <w:bCs/>
                <w:color w:val="000000"/>
                <w:kern w:val="0"/>
              </w:rPr>
              <w:t>核查</w:t>
            </w:r>
          </w:p>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rPr>
              <w:t>内容</w:t>
            </w:r>
          </w:p>
        </w:tc>
        <w:tc>
          <w:tcPr>
            <w:tcW w:w="3029" w:type="pct"/>
            <w:vMerge w:val="restart"/>
            <w:vAlign w:val="center"/>
          </w:tcPr>
          <w:p>
            <w:pPr>
              <w:widowControl/>
              <w:jc w:val="center"/>
              <w:rPr>
                <w:rFonts w:hint="eastAsia" w:ascii="仿宋_GB2312" w:hAnsi="宋体" w:eastAsia="仿宋_GB2312" w:cs="Times New Roman"/>
                <w:b/>
                <w:bCs/>
                <w:color w:val="000000"/>
                <w:kern w:val="0"/>
                <w:sz w:val="24"/>
                <w:lang w:val="zh-CN" w:eastAsia="zh-CN" w:bidi="ar-SA"/>
              </w:rPr>
            </w:pPr>
            <w:r>
              <w:rPr>
                <w:rFonts w:hint="eastAsia" w:ascii="仿宋_GB2312" w:hAnsi="宋体" w:eastAsia="仿宋_GB2312" w:cs="仿宋_GB2312"/>
                <w:b/>
                <w:bCs/>
                <w:color w:val="000000"/>
                <w:kern w:val="0"/>
                <w:sz w:val="24"/>
                <w:szCs w:val="24"/>
              </w:rPr>
              <w:t>核查和评价方法</w:t>
            </w:r>
          </w:p>
        </w:tc>
        <w:tc>
          <w:tcPr>
            <w:tcW w:w="266" w:type="pct"/>
            <w:vMerge w:val="restart"/>
            <w:vAlign w:val="center"/>
          </w:tcPr>
          <w:p>
            <w:pPr>
              <w:widowControl/>
              <w:jc w:val="center"/>
              <w:rPr>
                <w:rFonts w:hint="eastAsia" w:ascii="仿宋_GB2312" w:hAnsi="宋体" w:eastAsia="仿宋_GB2312" w:cs="Times New Roman"/>
                <w:b/>
                <w:bCs/>
                <w:color w:val="000000"/>
                <w:kern w:val="0"/>
                <w:sz w:val="21"/>
                <w:lang w:val="en-US" w:eastAsia="zh-CN" w:bidi="ar-SA"/>
              </w:rPr>
            </w:pPr>
            <w:r>
              <w:rPr>
                <w:rFonts w:hint="eastAsia" w:ascii="仿宋_GB2312" w:hAnsi="宋体" w:eastAsia="仿宋_GB2312" w:cs="Times New Roman"/>
                <w:b/>
                <w:bCs/>
                <w:color w:val="000000"/>
                <w:kern w:val="0"/>
                <w:sz w:val="21"/>
                <w:lang w:val="en-US" w:eastAsia="zh-CN" w:bidi="ar-SA"/>
              </w:rPr>
              <w:t>编号</w:t>
            </w:r>
          </w:p>
        </w:tc>
        <w:tc>
          <w:tcPr>
            <w:tcW w:w="335" w:type="pct"/>
            <w:vMerge w:val="restart"/>
            <w:vAlign w:val="center"/>
          </w:tcPr>
          <w:p>
            <w:pPr>
              <w:widowControl/>
              <w:jc w:val="center"/>
              <w:rPr>
                <w:rFonts w:ascii="仿宋_GB2312" w:hAnsi="宋体" w:eastAsia="仿宋_GB2312" w:cs="Times New Roman"/>
                <w:b/>
                <w:bCs/>
                <w:color w:val="000000"/>
                <w:kern w:val="0"/>
                <w:sz w:val="21"/>
                <w:lang w:val="en-US" w:eastAsia="zh-CN" w:bidi="ar-SA"/>
              </w:rPr>
            </w:pPr>
            <w:r>
              <w:rPr>
                <w:rFonts w:hint="eastAsia" w:ascii="仿宋_GB2312" w:hAnsi="宋体" w:eastAsia="仿宋_GB2312" w:cs="仿宋_GB2312"/>
                <w:b/>
                <w:bCs/>
                <w:color w:val="000000"/>
                <w:kern w:val="0"/>
              </w:rPr>
              <w:t>重要性</w:t>
            </w:r>
          </w:p>
        </w:tc>
        <w:tc>
          <w:tcPr>
            <w:tcW w:w="1000" w:type="pct"/>
            <w:gridSpan w:val="3"/>
            <w:vAlign w:val="center"/>
          </w:tcPr>
          <w:p>
            <w:pPr>
              <w:widowControl/>
              <w:spacing w:line="240" w:lineRule="exact"/>
              <w:jc w:val="center"/>
              <w:rPr>
                <w:rFonts w:hint="eastAsia" w:ascii="仿宋_GB2312" w:hAnsi="宋体" w:eastAsia="仿宋_GB2312" w:cs="仿宋_GB2312"/>
                <w:color w:val="000000"/>
                <w:kern w:val="0"/>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369" w:type="pct"/>
            <w:vMerge w:val="continue"/>
            <w:vAlign w:val="center"/>
          </w:tcPr>
          <w:p>
            <w:pPr>
              <w:widowControl/>
              <w:adjustRightInd w:val="0"/>
              <w:snapToGrid w:val="0"/>
              <w:spacing w:line="240" w:lineRule="exact"/>
              <w:rPr>
                <w:rFonts w:hint="eastAsia" w:ascii="仿宋_GB2312" w:hAnsi="宋体" w:eastAsia="仿宋_GB2312" w:cs="仿宋_GB2312"/>
                <w:color w:val="000000"/>
                <w:kern w:val="0"/>
                <w:lang w:val="en-US" w:eastAsia="zh-CN"/>
              </w:rPr>
            </w:pPr>
          </w:p>
        </w:tc>
        <w:tc>
          <w:tcPr>
            <w:tcW w:w="3029" w:type="pct"/>
            <w:vMerge w:val="continue"/>
            <w:vAlign w:val="center"/>
          </w:tcPr>
          <w:p>
            <w:pPr>
              <w:widowControl/>
              <w:adjustRightInd w:val="0"/>
              <w:snapToGrid w:val="0"/>
              <w:spacing w:line="240" w:lineRule="exact"/>
              <w:rPr>
                <w:rFonts w:hint="eastAsia" w:ascii="仿宋_GB2312" w:hAnsi="宋体" w:eastAsia="仿宋_GB2312"/>
                <w:color w:val="000000"/>
                <w:kern w:val="0"/>
                <w:lang w:val="zh-CN"/>
              </w:rPr>
            </w:pPr>
          </w:p>
        </w:tc>
        <w:tc>
          <w:tcPr>
            <w:tcW w:w="266" w:type="pct"/>
            <w:vMerge w:val="continue"/>
            <w:vAlign w:val="center"/>
          </w:tcPr>
          <w:p>
            <w:pPr>
              <w:widowControl/>
              <w:jc w:val="center"/>
              <w:rPr>
                <w:rFonts w:hint="eastAsia" w:ascii="仿宋_GB2312" w:hAnsi="宋体" w:eastAsia="仿宋_GB2312" w:cs="仿宋_GB2312"/>
                <w:color w:val="000000"/>
                <w:kern w:val="0"/>
                <w:lang w:val="en-US" w:eastAsia="zh-CN"/>
              </w:rPr>
            </w:pPr>
          </w:p>
        </w:tc>
        <w:tc>
          <w:tcPr>
            <w:tcW w:w="335" w:type="pct"/>
            <w:vMerge w:val="continue"/>
            <w:vAlign w:val="center"/>
          </w:tcPr>
          <w:p>
            <w:pPr>
              <w:widowControl/>
              <w:jc w:val="center"/>
              <w:rPr>
                <w:rFonts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Times New Roman"/>
                <w:b/>
                <w:bCs/>
                <w:color w:val="000000"/>
                <w:kern w:val="0"/>
                <w:sz w:val="21"/>
                <w:lang w:val="en-US" w:eastAsia="zh-CN" w:bidi="ar-SA"/>
              </w:rPr>
            </w:pPr>
            <w:r>
              <w:rPr>
                <w:rFonts w:hint="eastAsia" w:ascii="仿宋_GB2312" w:hAnsi="宋体" w:eastAsia="仿宋_GB2312" w:cs="仿宋_GB2312"/>
                <w:b/>
                <w:bCs/>
                <w:color w:val="000000"/>
                <w:kern w:val="0"/>
              </w:rPr>
              <w:t>符合</w:t>
            </w:r>
          </w:p>
        </w:tc>
        <w:tc>
          <w:tcPr>
            <w:tcW w:w="365" w:type="pct"/>
            <w:vAlign w:val="center"/>
          </w:tcPr>
          <w:p>
            <w:pPr>
              <w:widowControl/>
              <w:jc w:val="center"/>
              <w:rPr>
                <w:rFonts w:hint="eastAsia" w:ascii="仿宋_GB2312" w:hAnsi="宋体" w:eastAsia="仿宋_GB2312" w:cs="Times New Roman"/>
                <w:b/>
                <w:bCs/>
                <w:color w:val="000000"/>
                <w:kern w:val="0"/>
                <w:sz w:val="21"/>
                <w:lang w:val="en-US" w:eastAsia="zh-CN" w:bidi="ar-SA"/>
              </w:rPr>
            </w:pPr>
            <w:r>
              <w:rPr>
                <w:rFonts w:hint="eastAsia" w:ascii="仿宋_GB2312" w:hAnsi="宋体" w:eastAsia="仿宋_GB2312" w:cs="仿宋_GB2312"/>
                <w:b/>
                <w:bCs/>
                <w:color w:val="000000"/>
                <w:kern w:val="0"/>
              </w:rPr>
              <w:t>不符合</w:t>
            </w:r>
          </w:p>
        </w:tc>
        <w:tc>
          <w:tcPr>
            <w:tcW w:w="269" w:type="pct"/>
            <w:vAlign w:val="center"/>
          </w:tcPr>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369" w:type="pct"/>
            <w:vMerge w:val="restart"/>
            <w:vAlign w:val="center"/>
          </w:tcPr>
          <w:p>
            <w:pPr>
              <w:widowControl/>
              <w:adjustRightInd w:val="0"/>
              <w:snapToGrid w:val="0"/>
              <w:spacing w:line="240" w:lineRule="exact"/>
              <w:rPr>
                <w:rFonts w:hint="eastAsia" w:ascii="仿宋_GB2312" w:hAnsi="宋体" w:eastAsia="仿宋_GB2312"/>
                <w:color w:val="000000"/>
                <w:kern w:val="0"/>
                <w:lang w:eastAsia="zh-CN"/>
              </w:rPr>
            </w:pPr>
            <w:r>
              <w:rPr>
                <w:rFonts w:hint="eastAsia" w:ascii="仿宋_GB2312" w:hAnsi="宋体" w:eastAsia="仿宋_GB2312" w:cs="仿宋_GB2312"/>
                <w:color w:val="000000"/>
                <w:kern w:val="0"/>
                <w:lang w:val="en-US" w:eastAsia="zh-CN"/>
              </w:rPr>
              <w:t>4</w:t>
            </w:r>
            <w:r>
              <w:rPr>
                <w:rFonts w:hint="eastAsia" w:ascii="仿宋_GB2312" w:hAnsi="宋体" w:eastAsia="仿宋_GB2312" w:cs="仿宋_GB2312"/>
                <w:color w:val="000000"/>
                <w:kern w:val="0"/>
              </w:rPr>
              <w:t>地面</w:t>
            </w:r>
            <w:r>
              <w:rPr>
                <w:rFonts w:hint="eastAsia" w:ascii="仿宋_GB2312" w:hAnsi="宋体" w:eastAsia="仿宋_GB2312" w:cs="仿宋_GB2312"/>
                <w:color w:val="000000"/>
                <w:kern w:val="0"/>
                <w:lang w:eastAsia="zh-CN"/>
              </w:rPr>
              <w:t>、墙面与天花板</w:t>
            </w:r>
          </w:p>
        </w:tc>
        <w:tc>
          <w:tcPr>
            <w:tcW w:w="3029" w:type="pct"/>
            <w:vAlign w:val="center"/>
          </w:tcPr>
          <w:p>
            <w:pPr>
              <w:widowControl/>
              <w:adjustRightInd w:val="0"/>
              <w:snapToGrid w:val="0"/>
              <w:spacing w:line="240" w:lineRule="exact"/>
              <w:rPr>
                <w:rFonts w:hint="eastAsia" w:ascii="仿宋_GB2312" w:hAnsi="宋体" w:eastAsia="仿宋_GB2312" w:cs="仿宋_GB2312"/>
                <w:color w:val="000000"/>
                <w:kern w:val="0"/>
              </w:rPr>
            </w:pPr>
            <w:r>
              <w:rPr>
                <w:rFonts w:hint="eastAsia" w:ascii="仿宋_GB2312" w:hAnsi="宋体" w:eastAsia="仿宋_GB2312"/>
                <w:color w:val="000000"/>
                <w:kern w:val="0"/>
                <w:lang w:val="zh-CN"/>
              </w:rPr>
              <w:t>地面的铺设材料应当无毒、无异味、不透水、耐腐蚀。地面平坦防滑，易于清洗</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12</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9"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olor w:val="000000"/>
                <w:kern w:val="0"/>
              </w:rPr>
            </w:pPr>
            <w:r>
              <w:rPr>
                <w:rFonts w:hint="eastAsia" w:ascii="仿宋_GB2312" w:hAnsi="宋体" w:eastAsia="仿宋_GB2312" w:cs="仿宋_GB2312"/>
                <w:color w:val="000000"/>
                <w:kern w:val="0"/>
                <w:lang w:eastAsia="zh-CN"/>
              </w:rPr>
              <w:t>地面无明沟，地漏带水封</w:t>
            </w:r>
          </w:p>
        </w:tc>
        <w:tc>
          <w:tcPr>
            <w:tcW w:w="266" w:type="pct"/>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13</w:t>
            </w:r>
          </w:p>
        </w:tc>
        <w:tc>
          <w:tcPr>
            <w:tcW w:w="33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69"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rPr>
              <w:t>墙壁采用的涂覆或铺设材料应无毒、无异味、不透水、防霉、不易脱落、易清洁</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14</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69"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3029" w:type="pct"/>
            <w:vAlign w:val="center"/>
          </w:tcPr>
          <w:p>
            <w:pPr>
              <w:widowControl/>
              <w:adjustRightInd w:val="0"/>
              <w:snapToGrid w:val="0"/>
              <w:spacing w:line="240" w:lineRule="exact"/>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门、窗应闭合严密，采用不透水、坚固、不变形的材料制成，易于维护、清洁</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15</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69"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3029" w:type="pct"/>
            <w:vAlign w:val="center"/>
          </w:tcPr>
          <w:p>
            <w:pPr>
              <w:pStyle w:val="2"/>
              <w:ind w:firstLine="0" w:firstLineChars="0"/>
              <w:rPr>
                <w:rFonts w:ascii="仿宋_GB2312" w:hAnsi="宋体" w:eastAsia="仿宋_GB2312" w:cs="仿宋_GB2312"/>
                <w:color w:val="000000"/>
                <w:kern w:val="0"/>
                <w:lang w:val="zh-CN"/>
              </w:rPr>
            </w:pPr>
            <w:r>
              <w:rPr>
                <w:rFonts w:hint="eastAsia" w:ascii="仿宋_GB2312" w:hAnsi="宋体" w:eastAsia="仿宋_GB2312" w:cs="仿宋_GB2312"/>
                <w:color w:val="000000"/>
                <w:kern w:val="0"/>
                <w:sz w:val="21"/>
                <w:szCs w:val="20"/>
              </w:rPr>
              <w:t>与外界直接相通的通风口、换气窗外部，应加装不小于16目的防虫筛网</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16</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rPr>
                <w:rFonts w:hint="eastAsia" w:eastAsia="仿宋_GB2312"/>
                <w:lang w:eastAsia="zh-CN"/>
              </w:rPr>
            </w:pPr>
            <w:r>
              <w:rPr>
                <w:rFonts w:hint="eastAsia" w:ascii="仿宋_GB2312" w:hAnsi="宋体" w:eastAsia="仿宋_GB2312" w:cs="仿宋_GB2312"/>
                <w:color w:val="000000"/>
                <w:kern w:val="0"/>
              </w:rPr>
              <w:t>天花板的涂覆或装修材料应无毒、无异味、防霉、不易脱落、易于清洁</w:t>
            </w:r>
            <w:r>
              <w:rPr>
                <w:rFonts w:hint="eastAsia" w:ascii="仿宋_GB2312" w:hAnsi="宋体" w:eastAsia="仿宋_GB2312" w:cs="仿宋_GB2312"/>
                <w:color w:val="000000"/>
                <w:kern w:val="0"/>
                <w:lang w:eastAsia="zh-CN"/>
              </w:rPr>
              <w:t>，</w:t>
            </w:r>
            <w:r>
              <w:rPr>
                <w:rFonts w:hint="eastAsia" w:ascii="仿宋_GB2312" w:hAnsi="宋体" w:eastAsia="仿宋_GB2312" w:cs="仿宋_GB2312"/>
                <w:color w:val="000000"/>
                <w:kern w:val="0"/>
              </w:rPr>
              <w:t>能避免灰尘散落</w:t>
            </w:r>
            <w:r>
              <w:rPr>
                <w:rFonts w:ascii="仿宋_GB2312" w:hAnsi="宋体" w:eastAsia="仿宋_GB2312" w:cs="仿宋_GB2312"/>
                <w:color w:val="000000"/>
                <w:kern w:val="0"/>
              </w:rPr>
              <w:t>,防止有害生物</w:t>
            </w:r>
            <w:r>
              <w:rPr>
                <w:rFonts w:hint="eastAsia" w:ascii="仿宋_GB2312" w:hAnsi="宋体" w:eastAsia="仿宋_GB2312" w:cs="仿宋_GB2312"/>
                <w:color w:val="000000"/>
                <w:kern w:val="0"/>
              </w:rPr>
              <w:t>孳生和霉菌繁殖</w:t>
            </w:r>
          </w:p>
        </w:tc>
        <w:tc>
          <w:tcPr>
            <w:tcW w:w="266" w:type="pct"/>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17</w:t>
            </w:r>
          </w:p>
        </w:tc>
        <w:tc>
          <w:tcPr>
            <w:tcW w:w="335"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369"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lang w:val="en-US" w:eastAsia="zh-CN"/>
              </w:rPr>
              <w:t>5</w:t>
            </w:r>
            <w:r>
              <w:rPr>
                <w:rFonts w:ascii="仿宋_GB2312" w:hAnsi="宋体" w:eastAsia="仿宋_GB2312" w:cs="仿宋_GB2312"/>
                <w:color w:val="000000"/>
                <w:kern w:val="0"/>
              </w:rPr>
              <w:t>.</w:t>
            </w:r>
            <w:r>
              <w:rPr>
                <w:rFonts w:hint="eastAsia" w:ascii="仿宋_GB2312" w:hAnsi="宋体" w:eastAsia="仿宋_GB2312" w:cs="仿宋_GB2312"/>
                <w:color w:val="000000"/>
                <w:kern w:val="0"/>
              </w:rPr>
              <w:t>洗手消毒</w:t>
            </w:r>
          </w:p>
        </w:tc>
        <w:tc>
          <w:tcPr>
            <w:tcW w:w="3029" w:type="pct"/>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lang w:eastAsia="zh-CN"/>
              </w:rPr>
              <w:t>入口处设置洗手、消毒设施。水龙头应采用</w:t>
            </w:r>
            <w:r>
              <w:rPr>
                <w:rFonts w:hint="eastAsia" w:ascii="仿宋_GB2312" w:hAnsi="宋体" w:eastAsia="仿宋_GB2312" w:cs="仿宋_GB2312"/>
                <w:color w:val="000000"/>
                <w:kern w:val="0"/>
                <w:lang w:val="en-US" w:eastAsia="zh-CN"/>
              </w:rPr>
              <w:t>非手动开启式</w:t>
            </w:r>
          </w:p>
        </w:tc>
        <w:tc>
          <w:tcPr>
            <w:tcW w:w="266" w:type="pct"/>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18</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369" w:type="pct"/>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lang w:val="en-US" w:eastAsia="zh-CN"/>
              </w:rPr>
              <w:t>6</w:t>
            </w:r>
            <w:r>
              <w:rPr>
                <w:rFonts w:ascii="仿宋_GB2312" w:hAnsi="宋体" w:eastAsia="仿宋_GB2312" w:cs="仿宋_GB2312"/>
                <w:color w:val="000000"/>
                <w:kern w:val="0"/>
              </w:rPr>
              <w:t>.</w:t>
            </w:r>
            <w:r>
              <w:rPr>
                <w:rFonts w:hint="eastAsia" w:ascii="仿宋_GB2312" w:hAnsi="宋体" w:eastAsia="仿宋_GB2312" w:cs="仿宋_GB2312"/>
                <w:color w:val="000000"/>
                <w:kern w:val="0"/>
              </w:rPr>
              <w:t>采光照明</w:t>
            </w:r>
          </w:p>
        </w:tc>
        <w:tc>
          <w:tcPr>
            <w:tcW w:w="3029" w:type="pct"/>
            <w:vAlign w:val="center"/>
          </w:tcPr>
          <w:p>
            <w:pPr>
              <w:widowControl/>
              <w:rPr>
                <w:rFonts w:hint="eastAsia" w:ascii="仿宋_GB2312" w:hAnsi="宋体" w:eastAsia="仿宋_GB2312" w:cs="仿宋_GB2312"/>
                <w:color w:val="000000"/>
                <w:kern w:val="0"/>
                <w:lang w:val="zh-CN"/>
              </w:rPr>
            </w:pPr>
            <w:r>
              <w:rPr>
                <w:rFonts w:hint="eastAsia" w:ascii="仿宋_GB2312" w:hAnsi="宋体" w:eastAsia="仿宋_GB2312" w:cs="仿宋_GB2312"/>
                <w:color w:val="000000"/>
                <w:kern w:val="0"/>
                <w:lang w:eastAsia="zh-CN"/>
              </w:rPr>
              <w:t>加工</w:t>
            </w:r>
            <w:r>
              <w:rPr>
                <w:rFonts w:hint="eastAsia" w:ascii="仿宋_GB2312" w:hAnsi="宋体" w:eastAsia="仿宋_GB2312" w:cs="仿宋_GB2312"/>
                <w:color w:val="000000"/>
                <w:kern w:val="0"/>
              </w:rPr>
              <w:t>区有充足的自然光</w:t>
            </w:r>
            <w:r>
              <w:rPr>
                <w:rFonts w:hint="eastAsia" w:ascii="仿宋_GB2312" w:hAnsi="宋体" w:eastAsia="仿宋_GB2312" w:cs="仿宋_GB2312"/>
                <w:color w:val="000000"/>
                <w:kern w:val="0"/>
                <w:lang w:eastAsia="zh-CN"/>
              </w:rPr>
              <w:t>或</w:t>
            </w:r>
            <w:r>
              <w:rPr>
                <w:rFonts w:hint="eastAsia" w:ascii="仿宋_GB2312" w:hAnsi="宋体" w:eastAsia="仿宋_GB2312" w:cs="仿宋_GB2312"/>
                <w:color w:val="000000"/>
                <w:kern w:val="0"/>
              </w:rPr>
              <w:t>人工照明，光泽和亮度应满足加工需要，不应改变食品的感官颜色</w:t>
            </w:r>
          </w:p>
        </w:tc>
        <w:tc>
          <w:tcPr>
            <w:tcW w:w="266" w:type="pct"/>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19</w:t>
            </w:r>
          </w:p>
        </w:tc>
        <w:tc>
          <w:tcPr>
            <w:tcW w:w="335"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65" w:type="pct"/>
            <w:vAlign w:val="center"/>
          </w:tcPr>
          <w:p>
            <w:pPr>
              <w:widowControl/>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269" w:type="pct"/>
            <w:vAlign w:val="center"/>
          </w:tcPr>
          <w:p>
            <w:pPr>
              <w:widowControl/>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69" w:type="pct"/>
            <w:vMerge w:val="restart"/>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lang w:val="en-US" w:eastAsia="zh-CN"/>
              </w:rPr>
              <w:t>7</w:t>
            </w:r>
            <w:r>
              <w:rPr>
                <w:rFonts w:ascii="仿宋_GB2312" w:hAnsi="宋体" w:eastAsia="仿宋_GB2312" w:cs="仿宋_GB2312"/>
                <w:color w:val="000000"/>
                <w:kern w:val="0"/>
              </w:rPr>
              <w:t>.</w:t>
            </w:r>
            <w:r>
              <w:rPr>
                <w:rFonts w:hint="eastAsia" w:ascii="仿宋_GB2312" w:hAnsi="宋体" w:eastAsia="仿宋_GB2312" w:cs="仿宋_GB2312"/>
                <w:color w:val="000000"/>
                <w:kern w:val="0"/>
              </w:rPr>
              <w:t>废弃物暂存</w:t>
            </w:r>
          </w:p>
        </w:tc>
        <w:tc>
          <w:tcPr>
            <w:tcW w:w="3029" w:type="pct"/>
            <w:vAlign w:val="center"/>
          </w:tcPr>
          <w:p>
            <w:pPr>
              <w:widowControl/>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lang w:eastAsia="zh-CN"/>
              </w:rPr>
              <w:t>加工</w:t>
            </w:r>
            <w:r>
              <w:rPr>
                <w:rFonts w:hint="eastAsia" w:ascii="仿宋_GB2312" w:hAnsi="宋体" w:eastAsia="仿宋_GB2312" w:cs="仿宋_GB2312"/>
                <w:color w:val="000000"/>
                <w:kern w:val="0"/>
              </w:rPr>
              <w:t>区设废弃物存放设施。废弃物存放设施与食品加工制作容器有明显的区分</w:t>
            </w:r>
          </w:p>
        </w:tc>
        <w:tc>
          <w:tcPr>
            <w:tcW w:w="266" w:type="pct"/>
            <w:vAlign w:val="center"/>
          </w:tcPr>
          <w:p>
            <w:pPr>
              <w:widowControl/>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20</w:t>
            </w:r>
          </w:p>
        </w:tc>
        <w:tc>
          <w:tcPr>
            <w:tcW w:w="335" w:type="pct"/>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废弃物存放设施应有盖，能够防止污水渗漏、不良气味溢出和蚊虫滋生，并易于清洁</w:t>
            </w:r>
          </w:p>
        </w:tc>
        <w:tc>
          <w:tcPr>
            <w:tcW w:w="266" w:type="pct"/>
            <w:vAlign w:val="center"/>
          </w:tcPr>
          <w:p>
            <w:pPr>
              <w:widowControl/>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21</w:t>
            </w:r>
          </w:p>
        </w:tc>
        <w:tc>
          <w:tcPr>
            <w:tcW w:w="335" w:type="pct"/>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r>
              <w:rPr>
                <w:rFonts w:hint="eastAsia" w:ascii="仿宋_GB2312" w:hAnsi="宋体" w:eastAsia="仿宋_GB2312" w:cs="仿宋_GB2312"/>
                <w:color w:val="000000"/>
                <w:kern w:val="0"/>
              </w:rPr>
              <w:t>*</w:t>
            </w:r>
          </w:p>
        </w:tc>
        <w:tc>
          <w:tcPr>
            <w:tcW w:w="365" w:type="pct"/>
            <w:vAlign w:val="center"/>
          </w:tcPr>
          <w:p>
            <w:pPr>
              <w:widowControl/>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jc w:val="center"/>
              <w:rPr>
                <w:rFonts w:ascii="仿宋_GB2312" w:hAnsi="宋体" w:eastAsia="仿宋_GB2312" w:cs="Times New Roman"/>
                <w:color w:val="000000"/>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69" w:type="pct"/>
            <w:vMerge w:val="restart"/>
            <w:vAlign w:val="center"/>
          </w:tcPr>
          <w:p>
            <w:pPr>
              <w:widowControl/>
              <w:jc w:val="center"/>
              <w:rPr>
                <w:rFonts w:hint="eastAsia" w:ascii="仿宋_GB2312" w:hAnsi="宋体" w:eastAsia="仿宋_GB2312" w:cs="仿宋_GB2312"/>
                <w:b/>
                <w:bCs/>
                <w:color w:val="000000"/>
                <w:kern w:val="0"/>
              </w:rPr>
            </w:pPr>
            <w:r>
              <w:rPr>
                <w:rFonts w:hint="eastAsia" w:ascii="仿宋_GB2312" w:hAnsi="宋体" w:eastAsia="仿宋_GB2312" w:cs="仿宋_GB2312"/>
                <w:b/>
                <w:bCs/>
                <w:color w:val="000000"/>
                <w:kern w:val="0"/>
              </w:rPr>
              <w:t>核查</w:t>
            </w:r>
          </w:p>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rPr>
              <w:t>内容</w:t>
            </w:r>
          </w:p>
        </w:tc>
        <w:tc>
          <w:tcPr>
            <w:tcW w:w="3029" w:type="pct"/>
            <w:vMerge w:val="restart"/>
            <w:vAlign w:val="center"/>
          </w:tcPr>
          <w:p>
            <w:pPr>
              <w:widowControl/>
              <w:jc w:val="center"/>
              <w:rPr>
                <w:rFonts w:hint="eastAsia" w:ascii="仿宋_GB2312" w:hAnsi="宋体" w:eastAsia="仿宋_GB2312" w:cs="仿宋_GB2312"/>
                <w:b/>
                <w:bCs/>
                <w:color w:val="000000"/>
                <w:kern w:val="0"/>
                <w:lang w:val="zh-CN" w:eastAsia="zh-CN"/>
              </w:rPr>
            </w:pPr>
            <w:r>
              <w:rPr>
                <w:rFonts w:hint="eastAsia" w:ascii="仿宋_GB2312" w:hAnsi="宋体" w:eastAsia="仿宋_GB2312" w:cs="仿宋_GB2312"/>
                <w:b/>
                <w:bCs/>
                <w:color w:val="000000"/>
                <w:kern w:val="0"/>
              </w:rPr>
              <w:t>核查和评价方法</w:t>
            </w:r>
          </w:p>
        </w:tc>
        <w:tc>
          <w:tcPr>
            <w:tcW w:w="266" w:type="pct"/>
            <w:vMerge w:val="restart"/>
            <w:vAlign w:val="center"/>
          </w:tcPr>
          <w:p>
            <w:pPr>
              <w:widowControl/>
              <w:jc w:val="center"/>
              <w:rPr>
                <w:rFonts w:hint="default" w:ascii="仿宋_GB2312" w:hAnsi="宋体" w:eastAsia="仿宋_GB2312" w:cs="Times New Roman"/>
                <w:b/>
                <w:bCs/>
                <w:color w:val="000000"/>
                <w:kern w:val="0"/>
                <w:sz w:val="21"/>
                <w:lang w:val="en-US" w:eastAsia="zh-CN" w:bidi="ar-SA"/>
              </w:rPr>
            </w:pPr>
            <w:r>
              <w:rPr>
                <w:rFonts w:hint="eastAsia" w:ascii="仿宋_GB2312" w:hAnsi="宋体" w:eastAsia="仿宋_GB2312" w:cs="Times New Roman"/>
                <w:b/>
                <w:bCs/>
                <w:color w:val="000000"/>
                <w:kern w:val="0"/>
                <w:sz w:val="21"/>
                <w:lang w:val="en-US" w:eastAsia="zh-CN" w:bidi="ar-SA"/>
              </w:rPr>
              <w:t>编号</w:t>
            </w:r>
          </w:p>
        </w:tc>
        <w:tc>
          <w:tcPr>
            <w:tcW w:w="335" w:type="pct"/>
            <w:vMerge w:val="restart"/>
            <w:vAlign w:val="center"/>
          </w:tcPr>
          <w:p>
            <w:pPr>
              <w:widowControl/>
              <w:jc w:val="center"/>
              <w:rPr>
                <w:rFonts w:ascii="仿宋_GB2312" w:hAnsi="宋体" w:eastAsia="仿宋_GB2312" w:cs="Times New Roman"/>
                <w:b/>
                <w:bCs/>
                <w:color w:val="000000"/>
                <w:kern w:val="0"/>
                <w:sz w:val="21"/>
                <w:lang w:val="en-US" w:eastAsia="zh-CN" w:bidi="ar-SA"/>
              </w:rPr>
            </w:pPr>
            <w:r>
              <w:rPr>
                <w:rFonts w:hint="eastAsia" w:ascii="仿宋_GB2312" w:hAnsi="宋体" w:eastAsia="仿宋_GB2312" w:cs="仿宋_GB2312"/>
                <w:b/>
                <w:bCs/>
                <w:color w:val="000000"/>
                <w:kern w:val="0"/>
              </w:rPr>
              <w:t>重要性</w:t>
            </w:r>
          </w:p>
        </w:tc>
        <w:tc>
          <w:tcPr>
            <w:tcW w:w="1000" w:type="pct"/>
            <w:gridSpan w:val="3"/>
            <w:vAlign w:val="center"/>
          </w:tcPr>
          <w:p>
            <w:pPr>
              <w:widowControl/>
              <w:jc w:val="center"/>
              <w:rPr>
                <w:rFonts w:hint="eastAsia" w:ascii="仿宋_GB2312" w:hAnsi="宋体" w:eastAsia="仿宋_GB2312" w:cs="仿宋_GB2312"/>
                <w:color w:val="000000"/>
                <w:kern w:val="0"/>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69" w:type="pct"/>
            <w:vMerge w:val="continue"/>
            <w:vAlign w:val="center"/>
          </w:tcPr>
          <w:p>
            <w:pPr>
              <w:widowControl/>
              <w:jc w:val="left"/>
              <w:rPr>
                <w:rFonts w:hint="eastAsia" w:ascii="仿宋_GB2312" w:hAnsi="宋体" w:eastAsia="仿宋_GB2312"/>
                <w:color w:val="000000"/>
                <w:kern w:val="0"/>
                <w:lang w:val="en-US" w:eastAsia="zh-CN"/>
              </w:rPr>
            </w:pPr>
          </w:p>
        </w:tc>
        <w:tc>
          <w:tcPr>
            <w:tcW w:w="3029" w:type="pct"/>
            <w:vMerge w:val="continue"/>
            <w:vAlign w:val="center"/>
          </w:tcPr>
          <w:p>
            <w:pPr>
              <w:widowControl/>
              <w:jc w:val="center"/>
              <w:rPr>
                <w:rFonts w:hint="eastAsia" w:ascii="仿宋_GB2312" w:hAnsi="宋体" w:eastAsia="仿宋_GB2312" w:cs="仿宋_GB2312"/>
                <w:b/>
                <w:bCs/>
                <w:color w:val="000000"/>
                <w:kern w:val="0"/>
              </w:rPr>
            </w:pPr>
          </w:p>
        </w:tc>
        <w:tc>
          <w:tcPr>
            <w:tcW w:w="266" w:type="pct"/>
            <w:vMerge w:val="continue"/>
            <w:vAlign w:val="center"/>
          </w:tcPr>
          <w:p>
            <w:pPr>
              <w:widowControl/>
              <w:snapToGrid w:val="0"/>
              <w:jc w:val="center"/>
              <w:rPr>
                <w:rFonts w:hint="default" w:ascii="仿宋_GB2312" w:hAnsi="宋体" w:eastAsia="仿宋_GB2312" w:cs="仿宋_GB2312"/>
                <w:color w:val="000000"/>
                <w:kern w:val="0"/>
                <w:sz w:val="21"/>
                <w:lang w:val="en-US" w:eastAsia="zh-CN" w:bidi="ar-SA"/>
              </w:rPr>
            </w:pPr>
          </w:p>
        </w:tc>
        <w:tc>
          <w:tcPr>
            <w:tcW w:w="335" w:type="pct"/>
            <w:vMerge w:val="continue"/>
            <w:vAlign w:val="center"/>
          </w:tcPr>
          <w:p>
            <w:pPr>
              <w:widowControl/>
              <w:snapToGrid w:val="0"/>
              <w:jc w:val="center"/>
              <w:rPr>
                <w:rFonts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Times New Roman"/>
                <w:b/>
                <w:bCs/>
                <w:color w:val="000000"/>
                <w:kern w:val="0"/>
                <w:sz w:val="21"/>
                <w:lang w:val="en-US" w:eastAsia="zh-CN" w:bidi="ar-SA"/>
              </w:rPr>
            </w:pPr>
            <w:r>
              <w:rPr>
                <w:rFonts w:hint="eastAsia" w:ascii="仿宋_GB2312" w:hAnsi="宋体" w:eastAsia="仿宋_GB2312" w:cs="仿宋_GB2312"/>
                <w:b/>
                <w:bCs/>
                <w:color w:val="000000"/>
                <w:kern w:val="0"/>
              </w:rPr>
              <w:t>符合</w:t>
            </w:r>
          </w:p>
        </w:tc>
        <w:tc>
          <w:tcPr>
            <w:tcW w:w="365" w:type="pct"/>
            <w:vAlign w:val="center"/>
          </w:tcPr>
          <w:p>
            <w:pPr>
              <w:widowControl/>
              <w:jc w:val="center"/>
              <w:rPr>
                <w:rFonts w:hint="eastAsia" w:ascii="仿宋_GB2312" w:hAnsi="宋体" w:eastAsia="仿宋_GB2312" w:cs="Times New Roman"/>
                <w:b/>
                <w:bCs/>
                <w:color w:val="000000"/>
                <w:kern w:val="0"/>
                <w:sz w:val="21"/>
                <w:lang w:val="en-US" w:eastAsia="zh-CN" w:bidi="ar-SA"/>
              </w:rPr>
            </w:pPr>
            <w:r>
              <w:rPr>
                <w:rFonts w:hint="eastAsia" w:ascii="仿宋_GB2312" w:hAnsi="宋体" w:eastAsia="仿宋_GB2312" w:cs="仿宋_GB2312"/>
                <w:b/>
                <w:bCs/>
                <w:color w:val="000000"/>
                <w:kern w:val="0"/>
              </w:rPr>
              <w:t>不符合</w:t>
            </w:r>
          </w:p>
        </w:tc>
        <w:tc>
          <w:tcPr>
            <w:tcW w:w="269" w:type="pct"/>
            <w:vAlign w:val="center"/>
          </w:tcPr>
          <w:p>
            <w:pPr>
              <w:widowControl/>
              <w:jc w:val="center"/>
              <w:rPr>
                <w:rFonts w:hint="eastAsia" w:ascii="仿宋_GB2312" w:hAnsi="宋体" w:eastAsia="仿宋_GB2312" w:cs="仿宋_GB2312"/>
                <w:b/>
                <w:bCs/>
                <w:color w:val="000000"/>
                <w:kern w:val="0"/>
                <w:sz w:val="21"/>
                <w:lang w:val="en-US" w:eastAsia="zh-CN" w:bidi="ar-SA"/>
              </w:rPr>
            </w:pPr>
            <w:r>
              <w:rPr>
                <w:rFonts w:hint="eastAsia" w:ascii="仿宋_GB2312" w:hAnsi="宋体" w:eastAsia="仿宋_GB2312" w:cs="仿宋_GB2312"/>
                <w:b/>
                <w:bCs/>
                <w:color w:val="000000"/>
                <w:kern w:val="0"/>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69" w:type="pct"/>
            <w:vMerge w:val="restart"/>
            <w:vAlign w:val="center"/>
          </w:tcPr>
          <w:p>
            <w:pPr>
              <w:widowControl/>
              <w:jc w:val="left"/>
              <w:rPr>
                <w:rFonts w:ascii="仿宋_GB2312" w:hAnsi="宋体" w:eastAsia="仿宋_GB2312"/>
                <w:color w:val="000000"/>
                <w:kern w:val="0"/>
              </w:rPr>
            </w:pPr>
            <w:r>
              <w:rPr>
                <w:rFonts w:hint="eastAsia" w:ascii="仿宋_GB2312" w:hAnsi="宋体" w:eastAsia="仿宋_GB2312"/>
                <w:color w:val="000000"/>
                <w:kern w:val="0"/>
                <w:lang w:val="en-US" w:eastAsia="zh-CN"/>
              </w:rPr>
              <w:t>8</w:t>
            </w:r>
            <w:r>
              <w:rPr>
                <w:rFonts w:hint="eastAsia" w:ascii="仿宋_GB2312" w:hAnsi="宋体" w:eastAsia="仿宋_GB2312"/>
                <w:color w:val="000000"/>
                <w:kern w:val="0"/>
              </w:rPr>
              <w:t>.食品贮存场所和贮存设施</w:t>
            </w:r>
          </w:p>
        </w:tc>
        <w:tc>
          <w:tcPr>
            <w:tcW w:w="3029" w:type="pct"/>
            <w:vAlign w:val="center"/>
          </w:tcPr>
          <w:p>
            <w:pPr>
              <w:widowControl/>
              <w:snapToGrid w:val="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食品库房不得存放非食品物质（不会导致食品污染的食品容器、包装材料、工具等物品除外），</w:t>
            </w:r>
            <w:r>
              <w:rPr>
                <w:rFonts w:hint="eastAsia" w:ascii="仿宋_GB2312" w:hAnsi="宋体" w:eastAsia="仿宋_GB2312" w:cs="仿宋_GB2312"/>
                <w:color w:val="000000"/>
                <w:kern w:val="0"/>
                <w:lang w:val="en-US" w:eastAsia="zh-CN"/>
              </w:rPr>
              <w:t xml:space="preserve"> 食品</w:t>
            </w:r>
            <w:r>
              <w:rPr>
                <w:rFonts w:hint="eastAsia" w:ascii="仿宋_GB2312" w:hAnsi="宋体" w:eastAsia="仿宋_GB2312" w:cs="仿宋_GB2312"/>
                <w:color w:val="000000"/>
                <w:kern w:val="0"/>
              </w:rPr>
              <w:t>分离或分隔存放，防止交叉污染，并满足温湿度需求</w:t>
            </w:r>
          </w:p>
        </w:tc>
        <w:tc>
          <w:tcPr>
            <w:tcW w:w="266" w:type="pct"/>
            <w:vAlign w:val="center"/>
          </w:tcPr>
          <w:p>
            <w:pPr>
              <w:widowControl/>
              <w:snapToGrid w:val="0"/>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22</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仿宋_GB2312"/>
                <w:color w:val="000000"/>
                <w:kern w:val="0"/>
              </w:rPr>
            </w:pPr>
          </w:p>
        </w:tc>
        <w:tc>
          <w:tcPr>
            <w:tcW w:w="269" w:type="pct"/>
            <w:vAlign w:val="center"/>
          </w:tcPr>
          <w:p>
            <w:pPr>
              <w:widowControl/>
              <w:jc w:val="center"/>
              <w:rPr>
                <w:rFonts w:hint="eastAsia"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snapToGrid w:val="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库房内应设置足够数量的存放架，其结构及位置能够做到隔墙离地，以利于空气流通及物品搬运，避免虫害藏匿</w:t>
            </w:r>
          </w:p>
        </w:tc>
        <w:tc>
          <w:tcPr>
            <w:tcW w:w="266" w:type="pct"/>
            <w:vAlign w:val="center"/>
          </w:tcPr>
          <w:p>
            <w:pPr>
              <w:widowControl/>
              <w:snapToGrid w:val="0"/>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23</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仿宋_GB2312"/>
                <w:color w:val="000000"/>
                <w:kern w:val="0"/>
              </w:rPr>
            </w:pPr>
          </w:p>
        </w:tc>
        <w:tc>
          <w:tcPr>
            <w:tcW w:w="269" w:type="pct"/>
            <w:vAlign w:val="center"/>
          </w:tcPr>
          <w:p>
            <w:pPr>
              <w:widowControl/>
              <w:jc w:val="center"/>
              <w:rPr>
                <w:rFonts w:hint="eastAsia"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snapToGrid w:val="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使用食品添加剂的应设专柜（位）贮存，标注“食品添加剂”字样，并与食品、食品相关产品等分开存放</w:t>
            </w:r>
          </w:p>
        </w:tc>
        <w:tc>
          <w:tcPr>
            <w:tcW w:w="266" w:type="pct"/>
            <w:vAlign w:val="center"/>
          </w:tcPr>
          <w:p>
            <w:pPr>
              <w:widowControl/>
              <w:snapToGrid w:val="0"/>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24</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仿宋_GB2312"/>
                <w:color w:val="000000"/>
                <w:kern w:val="0"/>
              </w:rPr>
            </w:pPr>
          </w:p>
        </w:tc>
        <w:tc>
          <w:tcPr>
            <w:tcW w:w="269" w:type="pct"/>
            <w:vAlign w:val="center"/>
          </w:tcPr>
          <w:p>
            <w:pPr>
              <w:widowControl/>
              <w:jc w:val="center"/>
              <w:rPr>
                <w:rFonts w:hint="eastAsia"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snapToGrid w:val="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除冷藏、冷冻库外的库房</w:t>
            </w:r>
            <w:r>
              <w:rPr>
                <w:rFonts w:hint="eastAsia" w:ascii="仿宋_GB2312" w:hAnsi="宋体" w:eastAsia="仿宋_GB2312" w:cs="仿宋_GB2312"/>
                <w:color w:val="000000"/>
                <w:kern w:val="0"/>
                <w:szCs w:val="21"/>
                <w:lang w:bidi="ar"/>
              </w:rPr>
              <w:t>设置通风、防潮及防止有害生物入侵的装置。设置挡鼠板（金属材质或非金属材质包铁皮），高度应不低于60cm</w:t>
            </w:r>
          </w:p>
        </w:tc>
        <w:tc>
          <w:tcPr>
            <w:tcW w:w="266" w:type="pct"/>
            <w:vAlign w:val="center"/>
          </w:tcPr>
          <w:p>
            <w:pPr>
              <w:widowControl/>
              <w:snapToGrid w:val="0"/>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25</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jc w:val="center"/>
              <w:rPr>
                <w:rFonts w:hint="eastAsia" w:ascii="仿宋_GB2312" w:hAnsi="宋体" w:eastAsia="仿宋_GB2312" w:cs="仿宋_GB2312"/>
                <w:color w:val="000000"/>
                <w:kern w:val="0"/>
              </w:rPr>
            </w:pPr>
          </w:p>
        </w:tc>
        <w:tc>
          <w:tcPr>
            <w:tcW w:w="365" w:type="pct"/>
            <w:vAlign w:val="center"/>
          </w:tcPr>
          <w:p>
            <w:pPr>
              <w:widowControl/>
              <w:jc w:val="center"/>
              <w:rPr>
                <w:rFonts w:hint="eastAsia" w:ascii="仿宋_GB2312" w:hAnsi="宋体" w:eastAsia="仿宋_GB2312" w:cs="仿宋_GB2312"/>
                <w:color w:val="000000"/>
                <w:kern w:val="0"/>
              </w:rPr>
            </w:pPr>
          </w:p>
        </w:tc>
        <w:tc>
          <w:tcPr>
            <w:tcW w:w="269" w:type="pct"/>
            <w:vAlign w:val="center"/>
          </w:tcPr>
          <w:p>
            <w:pPr>
              <w:widowControl/>
              <w:jc w:val="center"/>
              <w:rPr>
                <w:rFonts w:hint="eastAsia"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69" w:type="pct"/>
            <w:vMerge w:val="restart"/>
            <w:vAlign w:val="center"/>
          </w:tcPr>
          <w:p>
            <w:pPr>
              <w:widowControl/>
              <w:jc w:val="left"/>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lang w:val="en-US" w:eastAsia="zh-CN"/>
              </w:rPr>
              <w:t>9</w:t>
            </w:r>
            <w:r>
              <w:rPr>
                <w:rFonts w:hint="eastAsia" w:ascii="仿宋_GB2312" w:hAnsi="宋体" w:eastAsia="仿宋_GB2312" w:cs="仿宋_GB2312"/>
                <w:color w:val="000000"/>
                <w:kern w:val="0"/>
              </w:rPr>
              <w:t>.制度</w:t>
            </w:r>
          </w:p>
        </w:tc>
        <w:tc>
          <w:tcPr>
            <w:tcW w:w="3029" w:type="pct"/>
            <w:vAlign w:val="center"/>
          </w:tcPr>
          <w:p>
            <w:pPr>
              <w:widowControl/>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kern w:val="0"/>
              </w:rPr>
              <w:t>制定与实际经营状况相符合的保证食品安全的规章制度并形成书面材料，主要制度内容至少包括从业人员健康管理制度、食品安全自查制度等</w:t>
            </w:r>
          </w:p>
        </w:tc>
        <w:tc>
          <w:tcPr>
            <w:tcW w:w="266" w:type="pct"/>
            <w:vAlign w:val="center"/>
          </w:tcPr>
          <w:p>
            <w:pPr>
              <w:widowControl/>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26</w:t>
            </w:r>
          </w:p>
        </w:tc>
        <w:tc>
          <w:tcPr>
            <w:tcW w:w="335" w:type="pct"/>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69" w:type="pct"/>
            <w:vMerge w:val="continue"/>
            <w:vAlign w:val="center"/>
          </w:tcPr>
          <w:p>
            <w:pPr>
              <w:widowControl/>
              <w:jc w:val="left"/>
              <w:rPr>
                <w:rFonts w:ascii="仿宋_GB2312" w:hAnsi="宋体" w:eastAsia="仿宋_GB2312"/>
                <w:color w:val="000000"/>
                <w:kern w:val="0"/>
              </w:rPr>
            </w:pPr>
          </w:p>
        </w:tc>
        <w:tc>
          <w:tcPr>
            <w:tcW w:w="3029" w:type="pct"/>
            <w:vAlign w:val="center"/>
          </w:tcPr>
          <w:p>
            <w:pPr>
              <w:widowControl/>
              <w:adjustRightInd w:val="0"/>
              <w:snapToGrid w:val="0"/>
              <w:rPr>
                <w:rFonts w:hint="eastAsia" w:ascii="仿宋_GB2312" w:hAnsi="宋体" w:eastAsia="仿宋_GB2312" w:cs="仿宋_GB2312"/>
                <w:kern w:val="0"/>
                <w:sz w:val="21"/>
                <w:lang w:val="en-US" w:eastAsia="zh-CN" w:bidi="ar-SA"/>
              </w:rPr>
            </w:pPr>
            <w:r>
              <w:rPr>
                <w:rFonts w:hint="eastAsia" w:ascii="仿宋_GB2312" w:hAnsi="宋体" w:eastAsia="仿宋_GB2312" w:cs="仿宋_GB2312"/>
                <w:kern w:val="0"/>
              </w:rPr>
              <w:t>食品经营企业应当建立从业人员培训制度、食品进货查验记录制度、食品贮存管理制度、不合格食品处置制度、食品安全突发事件应急处置方案等</w:t>
            </w:r>
          </w:p>
        </w:tc>
        <w:tc>
          <w:tcPr>
            <w:tcW w:w="266" w:type="pct"/>
            <w:vAlign w:val="center"/>
          </w:tcPr>
          <w:p>
            <w:pPr>
              <w:widowControl/>
              <w:snapToGrid w:val="0"/>
              <w:jc w:val="center"/>
              <w:rPr>
                <w:rFonts w:hint="default" w:ascii="仿宋_GB2312" w:hAnsi="宋体" w:eastAsia="仿宋_GB2312" w:cs="Times New Roman"/>
                <w:color w:val="000000"/>
                <w:kern w:val="0"/>
                <w:sz w:val="21"/>
                <w:lang w:val="en-US" w:eastAsia="zh-CN" w:bidi="ar-SA"/>
              </w:rPr>
            </w:pPr>
            <w:r>
              <w:rPr>
                <w:rFonts w:hint="eastAsia" w:ascii="仿宋_GB2312" w:hAnsi="宋体" w:eastAsia="仿宋_GB2312" w:cs="Times New Roman"/>
                <w:color w:val="000000"/>
                <w:kern w:val="0"/>
                <w:sz w:val="21"/>
                <w:lang w:val="en-US" w:eastAsia="zh-CN" w:bidi="ar-SA"/>
              </w:rPr>
              <w:t>27</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snapToGrid w:val="0"/>
              <w:ind w:firstLine="420" w:firstLineChars="20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369" w:type="pct"/>
            <w:vAlign w:val="center"/>
          </w:tcPr>
          <w:p>
            <w:pPr>
              <w:widowControl/>
              <w:jc w:val="left"/>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lang w:val="en-US" w:eastAsia="zh-CN"/>
              </w:rPr>
              <w:t>10</w:t>
            </w:r>
            <w:r>
              <w:rPr>
                <w:rFonts w:hint="eastAsia" w:ascii="仿宋_GB2312" w:hAnsi="宋体" w:eastAsia="仿宋_GB2312" w:cs="仿宋_GB2312"/>
                <w:color w:val="000000"/>
                <w:kern w:val="0"/>
              </w:rPr>
              <w:t>.</w:t>
            </w:r>
            <w:r>
              <w:rPr>
                <w:rFonts w:hint="eastAsia" w:ascii="仿宋_GB2312" w:hAnsi="宋体" w:eastAsia="仿宋_GB2312" w:cs="仿宋_GB2312"/>
                <w:color w:val="000000"/>
                <w:kern w:val="0"/>
                <w:lang w:eastAsia="zh-CN"/>
              </w:rPr>
              <w:t>人</w:t>
            </w:r>
            <w:r>
              <w:rPr>
                <w:rFonts w:hint="eastAsia" w:ascii="仿宋_GB2312" w:hAnsi="宋体" w:eastAsia="仿宋_GB2312" w:cs="仿宋_GB2312"/>
                <w:color w:val="000000"/>
                <w:kern w:val="0"/>
              </w:rPr>
              <w:t>员</w:t>
            </w:r>
          </w:p>
        </w:tc>
        <w:tc>
          <w:tcPr>
            <w:tcW w:w="3029" w:type="pct"/>
            <w:vAlign w:val="center"/>
          </w:tcPr>
          <w:p>
            <w:pPr>
              <w:widowControl/>
              <w:adjustRightInd w:val="0"/>
              <w:snapToGrid w:val="0"/>
              <w:rPr>
                <w:rFonts w:hint="eastAsia" w:ascii="仿宋_GB2312" w:hAnsi="宋体" w:eastAsia="仿宋_GB2312" w:cs="仿宋_GB2312"/>
                <w:kern w:val="0"/>
                <w:sz w:val="21"/>
                <w:lang w:val="en-US" w:eastAsia="zh-CN" w:bidi="ar-SA"/>
              </w:rPr>
            </w:pPr>
            <w:r>
              <w:rPr>
                <w:rFonts w:hint="eastAsia" w:ascii="仿宋_GB2312" w:hAnsi="宋体" w:eastAsia="仿宋_GB2312" w:cs="仿宋_GB2312"/>
                <w:kern w:val="0"/>
                <w:lang w:val="zh-CN"/>
              </w:rPr>
              <w:t>食品经营单位应当配备专职或兼职食品安全总监、食品安全员等食品安全管理人员</w:t>
            </w:r>
          </w:p>
        </w:tc>
        <w:tc>
          <w:tcPr>
            <w:tcW w:w="266" w:type="pct"/>
            <w:vAlign w:val="center"/>
          </w:tcPr>
          <w:p>
            <w:pPr>
              <w:widowControl/>
              <w:snapToGrid w:val="0"/>
              <w:jc w:val="center"/>
              <w:rPr>
                <w:rFonts w:hint="default" w:ascii="仿宋_GB2312" w:hAnsi="宋体" w:eastAsia="仿宋_GB2312" w:cs="Times New Roman"/>
                <w:color w:val="000000"/>
                <w:kern w:val="0"/>
                <w:sz w:val="21"/>
                <w:lang w:val="en-US" w:eastAsia="zh-CN" w:bidi="ar-SA"/>
              </w:rPr>
            </w:pPr>
            <w:r>
              <w:rPr>
                <w:rFonts w:hint="eastAsia" w:ascii="仿宋_GB2312" w:hAnsi="宋体" w:eastAsia="仿宋_GB2312" w:cs="Times New Roman"/>
                <w:color w:val="000000"/>
                <w:kern w:val="0"/>
                <w:sz w:val="21"/>
                <w:lang w:val="en-US" w:eastAsia="zh-CN" w:bidi="ar-SA"/>
              </w:rPr>
              <w:t>28</w:t>
            </w:r>
          </w:p>
        </w:tc>
        <w:tc>
          <w:tcPr>
            <w:tcW w:w="33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365" w:type="pct"/>
            <w:vAlign w:val="center"/>
          </w:tcPr>
          <w:p>
            <w:pPr>
              <w:widowControl/>
              <w:snapToGrid w:val="0"/>
              <w:jc w:val="center"/>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　</w:t>
            </w:r>
          </w:p>
        </w:tc>
        <w:tc>
          <w:tcPr>
            <w:tcW w:w="269" w:type="pct"/>
            <w:vAlign w:val="center"/>
          </w:tcPr>
          <w:p>
            <w:pPr>
              <w:widowControl/>
              <w:snapToGrid w:val="0"/>
              <w:ind w:firstLine="0" w:firstLineChars="0"/>
              <w:rPr>
                <w:rFonts w:hint="eastAsia"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不得缺项</w:t>
            </w:r>
          </w:p>
        </w:tc>
      </w:tr>
    </w:tbl>
    <w:p>
      <w:pPr>
        <w:spacing w:line="280" w:lineRule="exact"/>
        <w:ind w:firstLine="420" w:firstLineChars="200"/>
        <w:rPr>
          <w:rFonts w:hint="default" w:eastAsia="仿宋_GB2312"/>
          <w:lang w:val="en-US" w:eastAsia="zh-CN"/>
        </w:rPr>
      </w:pPr>
      <w:r>
        <w:rPr>
          <w:rFonts w:hint="eastAsia" w:ascii="仿宋_GB2312" w:eastAsia="仿宋_GB2312" w:cs="仿宋_GB2312"/>
          <w:color w:val="000000"/>
        </w:rPr>
        <w:t>说明：本表共</w:t>
      </w:r>
      <w:r>
        <w:rPr>
          <w:rFonts w:hint="eastAsia" w:ascii="仿宋_GB2312" w:eastAsia="仿宋_GB2312" w:cs="仿宋_GB2312"/>
          <w:color w:val="000000"/>
          <w:lang w:val="en-US" w:eastAsia="zh-CN"/>
        </w:rPr>
        <w:t>28</w:t>
      </w:r>
      <w:r>
        <w:rPr>
          <w:rFonts w:hint="eastAsia" w:ascii="仿宋_GB2312" w:eastAsia="仿宋_GB2312" w:cs="仿宋_GB2312"/>
          <w:color w:val="000000"/>
        </w:rPr>
        <w:t>项，其中重点</w:t>
      </w:r>
      <w:r>
        <w:rPr>
          <w:rFonts w:hint="eastAsia" w:ascii="仿宋_GB2312" w:eastAsia="仿宋_GB2312" w:cs="仿宋_GB2312"/>
          <w:color w:val="000000"/>
          <w:lang w:val="en-US" w:eastAsia="zh-CN"/>
        </w:rPr>
        <w:t>19</w:t>
      </w:r>
      <w:r>
        <w:rPr>
          <w:rFonts w:hint="eastAsia" w:ascii="仿宋_GB2312" w:eastAsia="仿宋_GB2312" w:cs="仿宋_GB2312"/>
          <w:color w:val="000000"/>
        </w:rPr>
        <w:t>项，一般项</w:t>
      </w:r>
      <w:r>
        <w:rPr>
          <w:rFonts w:hint="eastAsia" w:ascii="仿宋_GB2312" w:eastAsia="仿宋_GB2312" w:cs="仿宋_GB2312"/>
          <w:color w:val="000000"/>
          <w:lang w:val="en-US" w:eastAsia="zh-CN"/>
        </w:rPr>
        <w:t>9</w:t>
      </w:r>
      <w:r>
        <w:rPr>
          <w:rFonts w:hint="eastAsia" w:ascii="仿宋_GB2312" w:eastAsia="仿宋_GB2312" w:cs="仿宋_GB2312"/>
          <w:color w:val="000000"/>
        </w:rPr>
        <w:t>项。</w:t>
      </w:r>
      <w:r>
        <w:rPr>
          <w:rFonts w:ascii="仿宋_GB2312" w:eastAsia="仿宋_GB2312" w:cs="仿宋_GB2312"/>
          <w:color w:val="000000"/>
        </w:rPr>
        <w:t>**</w:t>
      </w:r>
      <w:r>
        <w:rPr>
          <w:rFonts w:hint="eastAsia" w:ascii="仿宋_GB2312" w:eastAsia="仿宋_GB2312" w:cs="仿宋_GB2312"/>
          <w:color w:val="000000"/>
        </w:rPr>
        <w:t>表示重点项，</w:t>
      </w:r>
      <w:r>
        <w:rPr>
          <w:rFonts w:ascii="仿宋_GB2312" w:eastAsia="仿宋_GB2312" w:cs="仿宋_GB2312"/>
          <w:color w:val="000000"/>
        </w:rPr>
        <w:t>*</w:t>
      </w:r>
      <w:r>
        <w:rPr>
          <w:rFonts w:hint="eastAsia" w:ascii="仿宋_GB2312" w:eastAsia="仿宋_GB2312" w:cs="仿宋_GB2312"/>
          <w:color w:val="000000"/>
        </w:rPr>
        <w:t>为一般项。判定原则：重点项必须全部符合，一般项符合数</w:t>
      </w:r>
      <w:r>
        <w:rPr>
          <w:rFonts w:hint="eastAsia" w:ascii="仿宋" w:hAnsi="仿宋" w:eastAsia="仿宋" w:cs="仿宋_GB2312"/>
          <w:color w:val="000000"/>
        </w:rPr>
        <w:t>≥</w:t>
      </w:r>
      <w:r>
        <w:rPr>
          <w:rFonts w:hint="eastAsia" w:ascii="仿宋_GB2312" w:eastAsia="仿宋_GB2312" w:cs="仿宋_GB2312"/>
          <w:color w:val="000000"/>
        </w:rPr>
        <w:t>所勾选一般项的</w:t>
      </w:r>
      <w:r>
        <w:rPr>
          <w:rFonts w:ascii="仿宋_GB2312" w:eastAsia="仿宋_GB2312" w:cs="仿宋_GB2312"/>
          <w:color w:val="000000"/>
        </w:rPr>
        <w:t>7</w:t>
      </w:r>
      <w:r>
        <w:rPr>
          <w:rFonts w:hint="eastAsia" w:ascii="仿宋_GB2312" w:eastAsia="仿宋_GB2312" w:cs="仿宋_GB2312"/>
          <w:color w:val="000000"/>
          <w:lang w:val="en-US" w:eastAsia="zh-CN"/>
        </w:rPr>
        <w:t>0%</w:t>
      </w:r>
      <w:bookmarkStart w:id="0" w:name="_GoBack"/>
      <w:bookmarkEnd w:id="0"/>
    </w:p>
    <w:p>
      <w:pPr>
        <w:pStyle w:val="2"/>
      </w:pPr>
    </w:p>
    <w:p>
      <w:pPr>
        <w:pStyle w:val="2"/>
      </w:pPr>
    </w:p>
    <w:tbl>
      <w:tblPr>
        <w:tblStyle w:val="6"/>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69" w:type="dxa"/>
            <w:vMerge w:val="restart"/>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spacing w:line="580" w:lineRule="atLeast"/>
              <w:jc w:val="center"/>
              <w:rPr>
                <w:rFonts w:hint="eastAsia" w:ascii="仿宋_GB2312" w:hAnsi="宋体" w:eastAsia="仿宋_GB2312" w:cs="仿宋_GB2312"/>
                <w:color w:val="000000"/>
                <w:kern w:val="0"/>
              </w:rPr>
            </w:pPr>
            <w:r>
              <w:rPr>
                <w:rFonts w:hint="eastAsia" w:ascii="黑体" w:hAnsi="黑体" w:eastAsia="黑体"/>
                <w:sz w:val="30"/>
                <w:szCs w:val="30"/>
              </w:rPr>
              <w:t>记录</w:t>
            </w: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重点项：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pStyle w:val="2"/>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69" w:type="dxa"/>
            <w:vMerge w:val="continue"/>
            <w:vAlign w:val="center"/>
          </w:tcPr>
          <w:p>
            <w:pPr>
              <w:spacing w:line="580" w:lineRule="atLeast"/>
              <w:jc w:val="center"/>
              <w:rPr>
                <w:rFonts w:hint="eastAsia"/>
              </w:rPr>
            </w:pP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一般项：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pStyle w:val="2"/>
              <w:ind w:left="0" w:leftChars="0" w:firstLine="0" w:firstLineChars="0"/>
              <w:jc w:val="center"/>
              <w:rPr>
                <w:rFonts w:hint="eastAsia"/>
              </w:rPr>
            </w:pPr>
            <w:r>
              <w:rPr>
                <w:rFonts w:hint="eastAsia" w:ascii="黑体" w:hAnsi="黑体" w:eastAsia="黑体"/>
                <w:sz w:val="30"/>
                <w:szCs w:val="30"/>
              </w:rPr>
              <w:t>结论</w:t>
            </w:r>
          </w:p>
        </w:tc>
        <w:tc>
          <w:tcPr>
            <w:tcW w:w="11225" w:type="dxa"/>
            <w:vAlign w:val="center"/>
          </w:tcPr>
          <w:p>
            <w:pPr>
              <w:widowControl/>
              <w:adjustRightInd w:val="0"/>
              <w:snapToGrid w:val="0"/>
              <w:jc w:val="center"/>
              <w:rPr>
                <w:rFonts w:hint="eastAsia" w:ascii="仿宋_GB2312" w:hAnsi="宋体" w:eastAsia="仿宋_GB2312" w:cs="仿宋_GB2312"/>
                <w:color w:val="000000"/>
                <w:kern w:val="0"/>
              </w:rPr>
            </w:pPr>
            <w:r>
              <w:rPr>
                <w:rFonts w:hint="eastAsia" w:ascii="宋体" w:hAnsi="宋体" w:cs="Times New Roman"/>
                <w:sz w:val="28"/>
                <w:szCs w:val="28"/>
              </w:rPr>
              <w:t>□符合规定</w:t>
            </w:r>
            <w:r>
              <w:rPr>
                <w:rFonts w:hint="eastAsia" w:ascii="宋体" w:hAnsi="宋体" w:cs="Times New Roman"/>
                <w:sz w:val="28"/>
                <w:szCs w:val="28"/>
                <w:lang w:val="en-US" w:eastAsia="zh-CN"/>
              </w:rPr>
              <w:t xml:space="preserve">        </w:t>
            </w:r>
            <w:r>
              <w:rPr>
                <w:rFonts w:hint="eastAsia" w:ascii="宋体" w:hAnsi="宋体" w:cs="Times New Roman"/>
                <w:sz w:val="28"/>
                <w:szCs w:val="28"/>
              </w:rPr>
              <w:t>　□不符合规定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top"/>
          </w:tcPr>
          <w:p>
            <w:pPr>
              <w:jc w:val="left"/>
              <w:rPr>
                <w:rFonts w:ascii="仿宋" w:hAnsi="仿宋" w:eastAsia="仿宋"/>
                <w:b/>
                <w:sz w:val="32"/>
                <w:szCs w:val="32"/>
              </w:rPr>
            </w:pPr>
            <w:r>
              <w:rPr>
                <w:rFonts w:hint="eastAsia" w:ascii="仿宋" w:hAnsi="仿宋" w:eastAsia="仿宋"/>
                <w:b/>
                <w:sz w:val="32"/>
                <w:szCs w:val="32"/>
              </w:rPr>
              <w:t>核查</w:t>
            </w:r>
            <w:r>
              <w:rPr>
                <w:rFonts w:ascii="仿宋" w:hAnsi="仿宋" w:eastAsia="仿宋"/>
                <w:b/>
                <w:sz w:val="32"/>
                <w:szCs w:val="32"/>
              </w:rPr>
              <w:t>人员</w:t>
            </w:r>
            <w:r>
              <w:rPr>
                <w:rFonts w:hint="eastAsia" w:ascii="仿宋" w:hAnsi="仿宋" w:eastAsia="仿宋"/>
                <w:b/>
                <w:sz w:val="32"/>
                <w:szCs w:val="32"/>
              </w:rPr>
              <w:t>签字</w:t>
            </w:r>
            <w:r>
              <w:rPr>
                <w:rFonts w:ascii="仿宋" w:hAnsi="仿宋" w:eastAsia="仿宋"/>
                <w:b/>
                <w:sz w:val="32"/>
                <w:szCs w:val="32"/>
              </w:rPr>
              <w:t xml:space="preserve">： </w:t>
            </w:r>
          </w:p>
          <w:p>
            <w:pPr>
              <w:widowControl/>
              <w:adjustRightInd w:val="0"/>
              <w:snapToGrid w:val="0"/>
              <w:jc w:val="right"/>
              <w:rPr>
                <w:rFonts w:hint="eastAsia" w:ascii="仿宋_GB2312" w:hAnsi="宋体" w:eastAsia="仿宋_GB2312" w:cs="仿宋_GB2312"/>
                <w:color w:val="000000"/>
                <w:kern w:val="0"/>
              </w:rPr>
            </w:pPr>
            <w:r>
              <w:rPr>
                <w:rFonts w:hint="eastAsia" w:ascii="仿宋" w:hAnsi="仿宋" w:eastAsia="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194" w:type="dxa"/>
            <w:gridSpan w:val="2"/>
            <w:vAlign w:val="center"/>
          </w:tcPr>
          <w:p>
            <w:pPr>
              <w:widowControl/>
              <w:adjustRightInd w:val="0"/>
              <w:snapToGrid w:val="0"/>
              <w:jc w:val="left"/>
              <w:rPr>
                <w:rFonts w:hint="eastAsia" w:ascii="仿宋_GB2312" w:hAnsi="宋体" w:eastAsia="仿宋_GB2312" w:cs="仿宋_GB2312"/>
                <w:color w:val="000000"/>
                <w:kern w:val="0"/>
              </w:rPr>
            </w:pPr>
            <w:r>
              <w:rPr>
                <w:rFonts w:hint="eastAsia" w:ascii="仿宋" w:hAnsi="仿宋" w:eastAsia="仿宋"/>
                <w:b/>
                <w:sz w:val="32"/>
                <w:szCs w:val="32"/>
              </w:rPr>
              <w:t>当事人</w:t>
            </w:r>
            <w:r>
              <w:rPr>
                <w:rFonts w:ascii="仿宋" w:hAnsi="仿宋" w:eastAsia="仿宋"/>
                <w:b/>
                <w:sz w:val="32"/>
                <w:szCs w:val="32"/>
              </w:rPr>
              <w:t>签字</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年    月    日</w:t>
            </w:r>
          </w:p>
        </w:tc>
      </w:tr>
    </w:tbl>
    <w:p/>
    <w:sectPr>
      <w:type w:val="continuous"/>
      <w:pgSz w:w="16838" w:h="11906" w:orient="landscape"/>
      <w:pgMar w:top="1587" w:right="2098" w:bottom="1474" w:left="198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467.8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CPiMTRvQEAAHUDAAAOAAAAAAAAAAEAIAAAACoBAABkcnMvZTJvRG9j&#10;LnhtbFBLBQYAAAAABgAGAFkBAABZBQAAAAA=&#10;">
              <v:fill on="t" focussize="0,0"/>
              <v:stroke on="f"/>
              <v:imagedata o:title=""/>
              <o:lock v:ext="edit" aspectratio="f"/>
              <v:textbox style="layout-flow:vertical;">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288290</wp:posOffset>
              </wp:positionH>
              <wp:positionV relativeFrom="page">
                <wp:posOffset>1008380</wp:posOffset>
              </wp:positionV>
              <wp:extent cx="762000" cy="895350"/>
              <wp:effectExtent l="0" t="0" r="0" b="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64</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79.4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9clC9r0BAAB1AwAADgAAAAAAAAABACAAAAAoAQAAZHJzL2Uyb0RvYy54&#10;bWxQSwUGAAAAAAYABgBZAQAAVwUAAAAA&#10;">
              <v:fill on="t" focussize="0,0"/>
              <v:stroke on="f"/>
              <v:imagedata o:title=""/>
              <o:lock v:ext="edit" aspectratio="f"/>
              <v:textbox style="layout-flow:vertical;">
                <w:txbxContent>
                  <w:p>
                    <w:pPr>
                      <w:jc w:val="center"/>
                      <w:rPr>
                        <w:rFonts w:ascii="宋体" w:hAnsi="宋体"/>
                        <w:sz w:val="28"/>
                        <w:szCs w:val="28"/>
                      </w:rPr>
                    </w:pPr>
                    <w:r>
                      <w:rPr>
                        <w:rStyle w:val="8"/>
                        <w:rFonts w:hint="eastAsia" w:ascii="宋体" w:hAnsi="宋体"/>
                        <w:kern w:val="0"/>
                        <w:sz w:val="28"/>
                        <w:szCs w:val="28"/>
                      </w:rPr>
                      <w:t>—</w:t>
                    </w:r>
                    <w:r>
                      <w:rPr>
                        <w:rStyle w:val="8"/>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64</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kern w:val="0"/>
                        <w:sz w:val="28"/>
                        <w:szCs w:val="28"/>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TE3ZmM3ZjdkZDU0Nzg5YTM4ZWM2NzAxZjEzZTAifQ=="/>
  </w:docVars>
  <w:rsids>
    <w:rsidRoot w:val="4EF78F38"/>
    <w:rsid w:val="000C7CAC"/>
    <w:rsid w:val="00143D21"/>
    <w:rsid w:val="001E75E7"/>
    <w:rsid w:val="00261839"/>
    <w:rsid w:val="003A6E1C"/>
    <w:rsid w:val="004028AD"/>
    <w:rsid w:val="00455471"/>
    <w:rsid w:val="004A5981"/>
    <w:rsid w:val="00557D58"/>
    <w:rsid w:val="00601FCA"/>
    <w:rsid w:val="006566F6"/>
    <w:rsid w:val="00713B91"/>
    <w:rsid w:val="00743888"/>
    <w:rsid w:val="007526D6"/>
    <w:rsid w:val="00757549"/>
    <w:rsid w:val="00763436"/>
    <w:rsid w:val="007C15C6"/>
    <w:rsid w:val="007F1DCF"/>
    <w:rsid w:val="0080156C"/>
    <w:rsid w:val="008079AB"/>
    <w:rsid w:val="00886119"/>
    <w:rsid w:val="0090205B"/>
    <w:rsid w:val="009F461A"/>
    <w:rsid w:val="00A32E56"/>
    <w:rsid w:val="00A34AB9"/>
    <w:rsid w:val="00A73B73"/>
    <w:rsid w:val="00A746E9"/>
    <w:rsid w:val="00AB4BB1"/>
    <w:rsid w:val="00AB7739"/>
    <w:rsid w:val="00BA5A13"/>
    <w:rsid w:val="00BA5A36"/>
    <w:rsid w:val="00BB755B"/>
    <w:rsid w:val="00BD77AE"/>
    <w:rsid w:val="00C37E7D"/>
    <w:rsid w:val="00CB2E91"/>
    <w:rsid w:val="00CB600E"/>
    <w:rsid w:val="00D0705B"/>
    <w:rsid w:val="00D07490"/>
    <w:rsid w:val="00D339A6"/>
    <w:rsid w:val="00D33B73"/>
    <w:rsid w:val="00D53291"/>
    <w:rsid w:val="00D96184"/>
    <w:rsid w:val="00E020C8"/>
    <w:rsid w:val="00EC1EDA"/>
    <w:rsid w:val="00F06497"/>
    <w:rsid w:val="00F163EE"/>
    <w:rsid w:val="00FC62C8"/>
    <w:rsid w:val="1B3B97C8"/>
    <w:rsid w:val="1BB75493"/>
    <w:rsid w:val="1D5E97D8"/>
    <w:rsid w:val="1EF25280"/>
    <w:rsid w:val="24BAEE05"/>
    <w:rsid w:val="2AFBDA0A"/>
    <w:rsid w:val="35E11929"/>
    <w:rsid w:val="376F9AAE"/>
    <w:rsid w:val="392C7E41"/>
    <w:rsid w:val="39FE369F"/>
    <w:rsid w:val="3A8F5EFA"/>
    <w:rsid w:val="3BF52EFC"/>
    <w:rsid w:val="3F3EB472"/>
    <w:rsid w:val="3FBB3BDC"/>
    <w:rsid w:val="4EF78F38"/>
    <w:rsid w:val="4FFF82D3"/>
    <w:rsid w:val="5CFF51EE"/>
    <w:rsid w:val="5D7581CF"/>
    <w:rsid w:val="5F7E5A8C"/>
    <w:rsid w:val="67EF4AEB"/>
    <w:rsid w:val="6A7EE190"/>
    <w:rsid w:val="6CD7696E"/>
    <w:rsid w:val="6DF644A0"/>
    <w:rsid w:val="6F376E22"/>
    <w:rsid w:val="6F6677C8"/>
    <w:rsid w:val="6FBF284F"/>
    <w:rsid w:val="6FD7B36C"/>
    <w:rsid w:val="76FC34B3"/>
    <w:rsid w:val="775D8F01"/>
    <w:rsid w:val="77F3A08B"/>
    <w:rsid w:val="799B3B96"/>
    <w:rsid w:val="7BAF5A1C"/>
    <w:rsid w:val="7BD9AE66"/>
    <w:rsid w:val="7BEFE6D7"/>
    <w:rsid w:val="7BFC0AED"/>
    <w:rsid w:val="7DDBA3E0"/>
    <w:rsid w:val="7DDDC02A"/>
    <w:rsid w:val="7ED362E9"/>
    <w:rsid w:val="7EF9B74F"/>
    <w:rsid w:val="7F6FBF68"/>
    <w:rsid w:val="7FD3C565"/>
    <w:rsid w:val="7FFFAC7D"/>
    <w:rsid w:val="9FFAFFE0"/>
    <w:rsid w:val="A3FF1D88"/>
    <w:rsid w:val="AF174C41"/>
    <w:rsid w:val="AF7F21FD"/>
    <w:rsid w:val="BBFE8DEE"/>
    <w:rsid w:val="BED6764D"/>
    <w:rsid w:val="BFE75582"/>
    <w:rsid w:val="CCDD7614"/>
    <w:rsid w:val="DBFC855F"/>
    <w:rsid w:val="DCEBFAB0"/>
    <w:rsid w:val="DDCC34E2"/>
    <w:rsid w:val="DEB7F5E7"/>
    <w:rsid w:val="DFFFB466"/>
    <w:rsid w:val="E3EF6281"/>
    <w:rsid w:val="E5F901CE"/>
    <w:rsid w:val="E5FF7EB2"/>
    <w:rsid w:val="E7A47444"/>
    <w:rsid w:val="E9FD8B26"/>
    <w:rsid w:val="EBFEAEDC"/>
    <w:rsid w:val="EC9F21F1"/>
    <w:rsid w:val="EEF52FEF"/>
    <w:rsid w:val="EF75FCCD"/>
    <w:rsid w:val="EF7A083A"/>
    <w:rsid w:val="EFEDB4D2"/>
    <w:rsid w:val="F3E34968"/>
    <w:rsid w:val="F3FB1939"/>
    <w:rsid w:val="F3FF6553"/>
    <w:rsid w:val="F7FEB416"/>
    <w:rsid w:val="F7FF5D98"/>
    <w:rsid w:val="FBA5C9FB"/>
    <w:rsid w:val="FBBBFFC6"/>
    <w:rsid w:val="FBF78C4C"/>
    <w:rsid w:val="FBFB6E02"/>
    <w:rsid w:val="FEEFB18B"/>
    <w:rsid w:val="FF6BA858"/>
    <w:rsid w:val="FFDF3768"/>
    <w:rsid w:val="FFEAAF1F"/>
    <w:rsid w:val="FFFED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style>
  <w:style w:type="character" w:customStyle="1" w:styleId="9">
    <w:name w:val="页眉 字符"/>
    <w:basedOn w:val="7"/>
    <w:link w:val="5"/>
    <w:qFormat/>
    <w:uiPriority w:val="0"/>
    <w:rPr>
      <w:rFonts w:ascii="Times New Roman" w:hAnsi="Times New Roman" w:eastAsia="宋体" w:cs="Times New Roman"/>
      <w:kern w:val="2"/>
      <w:sz w:val="18"/>
      <w:szCs w:val="18"/>
    </w:rPr>
  </w:style>
  <w:style w:type="character" w:customStyle="1" w:styleId="10">
    <w:name w:val="页脚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1785</Words>
  <Characters>1894</Characters>
  <Lines>315</Lines>
  <Paragraphs>262</Paragraphs>
  <TotalTime>27</TotalTime>
  <ScaleCrop>false</ScaleCrop>
  <LinksUpToDate>false</LinksUpToDate>
  <CharactersWithSpaces>3417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2023-08-21T02:09:00Z</dcterms:created>
  <dc:creator>scjgj</dc:creator>
  <cp:lastModifiedBy>沙仑水仙</cp:lastModifiedBy>
  <cp:lastPrinted>2023-12-11T19:41:00Z</cp:lastPrinted>
  <dcterms:modified xsi:type="dcterms:W3CDTF">2023-12-12T02:42:53Z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6CD0907FB4F64FE4800A9DFDF22B76F4_13</vt:lpwstr>
  </property>
</Properties>
</file>